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AMGBBehEfStV — Inkrafttreten</w:t>
      </w:r>
    </w:p>
    <w:p>
      <w:r>
        <w:rPr>
          <w:color w:val="555555"/>
          <w:sz w:val="18"/>
        </w:rPr>
        <w:t xml:space="preserve">AMG-Bundesoberbehörden-Effizienzsteigerung-Verordnung</w:t>
      </w:r>
    </w:p>
    <w:p>
      <w:r>
        <w:rPr>
          <w:color w:val="555555"/>
          <w:sz w:val="18"/>
        </w:rPr>
        <w:t xml:space="preserve">Stand: 15.11.2025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5 AMGBBehEfStV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https://recht.nulegal.eu/gesetze/AMGBBehEfStV/5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