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AMGBBehEfStV — Befugnisse der Koordinierungsstelle</w:t>
      </w:r>
    </w:p>
    <w:p>
      <w:r>
        <w:rPr>
          <w:color w:val="555555"/>
          <w:sz w:val="18"/>
        </w:rPr>
        <w:t xml:space="preserve">AMG-Bundesoberbehörden-Effizienzsteigerung-Verordnung</w:t>
      </w:r>
    </w:p>
    <w:p>
      <w:r>
        <w:rPr>
          <w:color w:val="555555"/>
          <w:sz w:val="18"/>
        </w:rPr>
        <w:t xml:space="preserve">Stand: 15.11.2025 (konsolidierte Textfassung, kein amtliches Inkrafttretensdatum)</w:t>
      </w:r>
    </w:p>
    <w:p>
      <w:r>
        <w:t xml:space="preserve">(1) Die Koordinierungsstelle darf zur Erfüllung der ihr nach § 2 übertragenen Aufgaben Einsicht in die bei den Bundesoberbehörden geführten Unterlagen nehmen.</w:t>
      </w:r>
    </w:p>
    <w:p>
      <w:r>
        <w:t xml:space="preserve">(2) Die Koordinierungsstelle darf zentrale Eingangsadressen für Zulassungs- oder Genehmigungsverfahren nach dem Arzneimittelgesetz festlegen.</w:t>
      </w:r>
    </w:p>
    <w:p>
      <w:r>
        <w:rPr>
          <w:color w:val="555555"/>
          <w:sz w:val="17"/>
        </w:rPr>
        <w:t xml:space="preserve">Zitiervorschlag: § 3 AMGBBehEfStV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https://recht.nulegal.eu/gesetze/AMGBBehEfStV/3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