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AMG1976ZSAusnV — Ausnahmen vom Dritten Abschnitt des Arzneimittelgesetzes und von der Arzneimittel- und Wirkstoffherstellungsverordnung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26.10.2022 (konsolidierte Textfassung, kein amtliches Inkrafttretensdatum)</w:t>
      </w:r>
    </w:p>
    <w:p>
      <w:r>
        <w:t xml:space="preserve">(1) Die zuständige Behörde kann das Inverkehrbringen von in § 1 Absatz 2 genannten Arzneimitteln gestatten, die abweichend von den §§ 13 bis 15 und 19 des Arzneimittelgesetzes oder abweichend von den §§ 3, 4, 11, 13, 15 bis 17 der Arzneimittel- und Wirkstoffherstellungsverordnung und den §§ 22 bis 26 der Arzneimittel- und Wirkstoffherstellungsverordnung hergestellt wurden, wenn die nach § 77 Absatz 1 oder Absatz 2 zuständige Bundesoberbehörde festgestellt hat, dass</w:t>
      </w:r>
    </w:p>
    <w:p>
      <w:pPr>
        <w:ind w:left="420"/>
      </w:pPr>
      <w:r>
        <w:t xml:space="preserve">1. seine Anwendung nach den Erkenntnissen der medizinischen Wissenschaft ein positives Nutzen-Risiko-Verhältnis zur Vorbeugung oder Behandlung der jeweiligen Erkrankung erwarten lässt,</w:t>
      </w:r>
    </w:p>
    <w:p>
      <w:pPr>
        <w:ind w:left="420"/>
      </w:pPr>
      <w:r>
        <w:t xml:space="preserve">2. die Abweichung von den Vorschriften des Arzneimittelgesetzes oder der Arzneimittel- und Wirkstoffherstellungsverordnung zur Erfüllung der in § 1 Absatz 1 genannten Aufgaben erforderlich ist und</w:t>
      </w:r>
    </w:p>
    <w:p>
      <w:pPr>
        <w:ind w:left="420"/>
      </w:pPr>
      <w:r>
        <w:t xml:space="preserve">3. die Qualität, die Wirksamkeit und die Unbedenklichkeit der Arzneimittel gewährleistet sind.</w:t>
      </w:r>
    </w:p>
    <w:p>
      <w:r>
        <w:t xml:space="preserve">(2) § 13 Absatz 2a Satz 1 des Arzneimittelgesetzes findet auf die in § 1 Absatz 2 genannten Arzneimittel keine Anwendung.</w:t>
      </w:r>
    </w:p>
    <w:p>
      <w:r>
        <w:t xml:space="preserve">(3) Zuständige Behörde im Sinne des Absatzes 1 ist bei in § 1 Absatz 2 genannten Arzneimitteln, die ausschließlich im Geschäftsbereich des Bundesministeriums der Verteidigung in den Verkehr gebracht werden, die zuständige Stelle der Bundeswehr. Die Feststellung nach Absatz 1 trifft bei solchen Arzneimitteln das Bundesministerium der Verteidigung.</w:t>
      </w:r>
    </w:p>
    <w:p>
      <w:r>
        <w:rPr>
          <w:color w:val="555555"/>
          <w:sz w:val="17"/>
        </w:rPr>
        <w:t xml:space="preserve">Zitiervorschlag: § 5a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