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94a AMG 1976 — Örtliche Zuständigkeit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Klagen, die auf Grund des § 84 oder des § 84a Abs. 1 erhoben werden, ist auch das Gericht zuständig, in dessen Bezirk der Kläger zur Zeit der Klageerhebung seinen Wohnsitz, in Ermangelung eines solchen seinen gewöhnlichen Aufenthaltsort hat.</w:t>
      </w:r>
    </w:p>
    <w:p>
      <w:r>
        <w:t xml:space="preserve">(2) Absatz 1 bleibt bei der Ermittlung der internationalen Zuständigkeit der Gerichte eines ausländischen Staates nach § 328 Abs. 1 Nr. 1 der Zivilprozessordnung außer Betracht.</w:t>
      </w:r>
    </w:p>
    <w:p>
      <w:r>
        <w:rPr>
          <w:color w:val="555555"/>
          <w:sz w:val="17"/>
        </w:rPr>
        <w:t xml:space="preserve">Zitiervorschlag: § 94a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