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AMG 1976 — Deckungsvorsorge</w:t>
      </w:r>
    </w:p>
    <w:p>
      <w:r>
        <w:rPr>
          <w:color w:val="555555"/>
          <w:sz w:val="18"/>
        </w:rPr>
        <w:t xml:space="preserve">Arzneimittelgesetz</w:t>
      </w:r>
    </w:p>
    <w:p>
      <w:r>
        <w:rPr>
          <w:color w:val="555555"/>
          <w:sz w:val="18"/>
        </w:rPr>
        <w:t xml:space="preserve">Stand: 10.06.2019 (konsolidierte Textfassung, kein amtliches Inkrafttretensdatum)</w:t>
      </w:r>
    </w:p>
    <w:p>
      <w:r>
        <w:t xml:space="preserve">(1) Der pharmazeutische Unternehmer hat dafür Vorsorge zu treffen, dass er seinen gesetzlichen Verpflichtungen zum Ersatz von Schäden nachkommen kann, die durch die Anwendung eines von ihm in den Verkehr gebrachten, zum Gebrauch bei Menschen bestimmten Arzneimittels entstehen, das der Pflicht zur Zulassung unterliegt oder durch Rechtsverordnung von der Zulassung befreit worden ist (Deckungsvorsorge). Die Deckungsvorsorge muss in Höhe der in § 88 Satz 1 genannten Beträge erbracht werden. Sie kann nur</w:t>
      </w:r>
    </w:p>
    <w:p>
      <w:pPr>
        <w:ind w:left="420"/>
      </w:pPr>
      <w:r>
        <w:t xml:space="preserve">1. durch eine Haftpflichtversicherung bei einem im Geltungsbereich dieses Gesetzes zum Geschäftsbetrieb befugten unabhängigen Versicherungsunternehmen, für das im Falle einer Rückversicherung ein Rückversicherungsvertrag nur mit einem Rückversicherungsunternehmen, das seinen Sitz im Geltungsbereich dieses Gesetzes, in einem anderen Mitgliedstaat der Europäischen Union, in einem anderen Vertragsstaat des Abkommens über den Europäischen Wirtschaftsraum oder in einem von der Europäischen Kommission auf Grund von Artikel 172 der Richtlinie 2009/138/EG des Europäischen Parlaments und des Rates vom 25. November 2009 betreffend die Aufnahme und Ausübung der Versicherungs- und Rückversicherungstätigkeit (Solvabilität II) (ABl. L 335 vom 17.12.2009, S. 1) als gleichwertig anerkannten Staat hat, besteht, oder</w:t>
      </w:r>
    </w:p>
    <w:p>
      <w:pPr>
        <w:ind w:left="420"/>
      </w:pPr>
      <w:r>
        <w:t xml:space="preserve">2. durch eine Freistellungs- oder Gewährleistungsverpflichtung eines inländischen Kreditinstituts oder eines Kreditinstituts eines anderen Mitgliedstaates der Europäischen Union oder eines anderen Vertragsstaates des Abkommens über den Europäischen Wirtschaftsraum</w:t>
      </w:r>
    </w:p>
    <w:p>
      <w:r>
        <w:t xml:space="preserve">erbracht werden.</w:t>
      </w:r>
    </w:p>
    <w:p>
      <w:r>
        <w:t xml:space="preserve">(2) Wird die Deckungsvorsorge durch eine Haftpflichtversicherung erbracht, so gelten die § 113 Abs. 3 und die §§ 114 bis 124 des Versicherungsvertragsgesetzes, sinngemäß.</w:t>
      </w:r>
    </w:p>
    <w:p>
      <w:r>
        <w:t xml:space="preserve">(3) Durch eine Freistellungs- oder Gewährleistungsverpflichtung eines Kreditinstituts kann die Deckungsvorsorge nur erbracht werden, wenn gewährleistet ist, dass das Kreditinstitut, solange mit seiner Inanspruchnahme gerechnet werden muss, in der Lage sein wird, seine Verpflichtungen im Rahmen der Deckungsvorsorge zu erfüllen. Für die Freistellungs- oder Gewährleistungsverpflichtung gelten die § 113 Abs. 3 und die §§ 114 bis 124 des Versicherungsvertragsgesetzes sinngemäß.</w:t>
      </w:r>
    </w:p>
    <w:p>
      <w:r>
        <w:t xml:space="preserve">(4) Zuständige Stelle im Sinne des § 117 Abs. 2 des Versicherungsvertragsgesetzes ist die für die Durchführung der Überwachung nach § 64 zuständige Behörde.</w:t>
      </w:r>
    </w:p>
    <w:p>
      <w:r>
        <w:t xml:space="preserve">(5) Die Bundesrepublik Deutschland und die Länder sind zur Deckungsvorsorge gemäß Absatz 1 nicht verpflichtet.</w:t>
      </w:r>
    </w:p>
    <w:p>
      <w:r>
        <w:rPr>
          <w:color w:val="555555"/>
          <w:sz w:val="17"/>
        </w:rPr>
        <w:t xml:space="preserve">Zitiervorschlag: § 94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