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AMG 1976 — Der Verantwortliche für das Inverkehrbringen</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im Geltungsbereich dieses Gesetzes in den Verkehr gebracht werden, müssen den Namen oder die Firma und die Anschrift des pharmazeutischen Unternehmers tragen. Dies gilt nicht für Arzneimittel, die zur klinischen Prüfung bestimmt sind.</w:t>
      </w:r>
    </w:p>
    <w:p>
      <w:r>
        <w:t xml:space="preserve">(2) Arzneimittel dürfen im Geltungsbereich dieses Gesetzes nur durch einen pharmazeutischen Unternehmer in den Verkehr gebracht werden, der seinen Sitz im Geltungsbereich dieses Gesetzes, in einem anderen Mitgliedstaat der Europäischen Union oder in einem anderen Vertragsstaat des Abkommens über den Europäischen Wirtschaftsraum hat. Bestellt der pharmazeutische Unternehmer einen örtlichen Vertreter, entbindet ihn dies nicht von seiner rechtlichen Verantwortung.</w:t>
      </w:r>
    </w:p>
    <w:p>
      <w:r>
        <w:rPr>
          <w:color w:val="555555"/>
          <w:sz w:val="17"/>
        </w:rPr>
        <w:t xml:space="preserve">Zitiervorschlag: § 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