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AMG 1976 — Schadensersatz durch Geldrenten</w:t>
      </w:r>
    </w:p>
    <w:p>
      <w:r>
        <w:rPr>
          <w:color w:val="555555"/>
          <w:sz w:val="18"/>
        </w:rPr>
        <w:t xml:space="preserve">Arzneimittelgesetz</w:t>
      </w:r>
    </w:p>
    <w:p>
      <w:r>
        <w:rPr>
          <w:color w:val="555555"/>
          <w:sz w:val="18"/>
        </w:rPr>
        <w:t xml:space="preserve">Stand: 10.06.2019 (konsolidierte Textfassung, kein amtliches Inkrafttretensdatum)</w:t>
      </w:r>
    </w:p>
    <w:p>
      <w:r>
        <w:t xml:space="preserve">(1) Der Schadensersatz wegen Aufhebung oder Minderung der Erwerbsfähigkeit und wegen Vermehrung der Bedürfnisse des Verletzten sowie der nach § 86 Abs. 2 einem Dritten zu gewährende Schadensersatz ist für die Zukunft durch Entrichtung einer Geldrente zu leisten.</w:t>
      </w:r>
    </w:p>
    <w:p>
      <w:r>
        <w:t xml:space="preserve">(2) Die Vorschriften des § 843 Abs. 2 bis 4 des Bürgerlichen Gesetzbuchs und des § 708 Nr. 8 der Zivilprozessordnung finden entsprechende Anwendung.</w:t>
      </w:r>
    </w:p>
    <w:p>
      <w:r>
        <w:t xml:space="preserve">(3) Ist bei der Verurteilung des Verpflichteten zur Entrichtung einer Geldrente nicht auf Sicherheitsleistung erkannt worden, so kann der Berechtigte gleichwohl Sicherheitsleistung verlangen, wenn die Vermögensverhältnisse des Verpflichteten sich erheblich verschlechtert haben; unter der gleichen Voraussetzung kann er eine Erhöhung der in dem Urteil bestimmten Sicherheit verlangen.</w:t>
      </w:r>
    </w:p>
    <w:p>
      <w:r>
        <w:rPr>
          <w:color w:val="555555"/>
          <w:sz w:val="17"/>
        </w:rPr>
        <w:t xml:space="preserve">Zitiervorschlag: § 89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