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84a AMG 1976 — Auskunftsanspruch</w:t>
      </w:r>
    </w:p>
    <w:p>
      <w:r>
        <w:rPr>
          <w:color w:val="555555"/>
          <w:sz w:val="18"/>
        </w:rPr>
        <w:t xml:space="preserve">Arzneimittelgesetz</w:t>
      </w:r>
    </w:p>
    <w:p>
      <w:r>
        <w:rPr>
          <w:color w:val="555555"/>
          <w:sz w:val="18"/>
        </w:rPr>
        <w:t xml:space="preserve">Stand: 10.06.2019 (konsolidierte Textfassung, kein amtliches Inkrafttretensdatum)</w:t>
      </w:r>
    </w:p>
    <w:p>
      <w:r>
        <w:t xml:space="preserve">(1) Liegen Tatsachen vor, die die Annahme begründen, dass ein Arzneimittel den Schaden verursacht hat, so kann der Geschädigte von dem pharmazeutischen Unternehmer Auskunft verlangen, es sei denn, dies ist zur Feststellung, ob ein Anspruch auf Schadensersatz nach § 84 besteht, nicht erforderlich. Der Anspruch richtet sich auf dem pharmazeutischen Unternehmer bekannte Wirkungen, Nebenwirkungen und Wechselwirkungen sowie ihm bekannt gewordene Verdachtsfälle von Nebenwirkungen und Wechselwirkungen und sämtliche weiteren Erkenntnisse, die für die Bewertung der Vertretbarkeit schädlicher Wirkungen von Bedeutung sein können. Die §§ 259 bis 261 des Bürgerlichen Gesetzbuchs sind entsprechend anzuwenden. Ein Auskunftsanspruch besteht insoweit nicht, als die Angaben auf Grund gesetzlicher Vorschriften geheim zu halten sind oder die Geheimhaltung einem überwiegenden Interesse des pharmazeutischen Unternehmers oder eines Dritten entspricht.</w:t>
      </w:r>
    </w:p>
    <w:p>
      <w:r>
        <w:t xml:space="preserve">(2) Ein Auskunftsanspruch besteht unter den Voraussetzungen des Absatzes 1 auch gegenüber den Behörden, die für die Zulassung und Überwachung von Arzneimitteln zuständig sind. Die Behörde ist zur Erteilung der Auskunft nicht verpflichtet, soweit Angaben auf Grund gesetzlicher Vorschriften geheim zu halten sind oder die Geheimhaltung einem überwiegenden Interesse des pharmazeutischen Unternehmers oder eines Dritten entspricht. Ansprüche nach dem Informationsfreiheitsgesetz bleiben unberührt.</w:t>
      </w:r>
    </w:p>
    <w:p>
      <w:r>
        <w:rPr>
          <w:color w:val="555555"/>
          <w:sz w:val="17"/>
        </w:rPr>
        <w:t xml:space="preserve">Zitiervorschlag: § 84a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https://recht.nulegal.eu/gesetze/AMG%201976/84a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