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AMG 1976 — Angleichung an das Recht der Europäischen Union</w:t>
      </w:r>
    </w:p>
    <w:p>
      <w:r>
        <w:rPr>
          <w:color w:val="555555"/>
          <w:sz w:val="18"/>
        </w:rPr>
        <w:t xml:space="preserve">Arzneimittelgesetz</w:t>
      </w:r>
    </w:p>
    <w:p>
      <w:r>
        <w:rPr>
          <w:color w:val="555555"/>
          <w:sz w:val="18"/>
        </w:rPr>
        <w:t xml:space="preserve">Stand: 10.06.2019 (konsolidierte Textfassung, kein amtliches Inkrafttretensdatum)</w:t>
      </w:r>
    </w:p>
    <w:p>
      <w:r>
        <w:t xml:space="preserve">(1) Rechtsverordnungen oder allgemeine Verwaltungsvorschriften nach diesem Gesetz können auch zum Zwecke der Angleichung der Rechts- und Verwaltungsvorschriften der Mitgliedstaaten der Europäischen Union erlassen werden, soweit dies zur Durchführung von Verordnungen, Richtlinien, Entscheidungen oder Beschlüssen der Europäischen Gemeinschaft oder der Europäischen Union, die Sachbereiche dieses Gesetzes betreffen, erforderlich ist.</w:t>
      </w:r>
    </w:p>
    <w:p>
      <w:r>
        <w:t xml:space="preserve">(2) (weggefallen)</w:t>
      </w:r>
    </w:p>
    <w:p>
      <w:r>
        <w:rPr>
          <w:color w:val="555555"/>
          <w:sz w:val="17"/>
        </w:rPr>
        <w:t xml:space="preserve">Zitiervorschlag: § 83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