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 AMG 1976 — Verhältnis zu anderen Gesetzen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01.04.2024 (konsolidierte Textfassung, kein amtliches Inkrafttretensdatum)</w:t>
      </w:r>
    </w:p>
    <w:p>
      <w:r>
        <w:t xml:space="preserve">Die Vorschriften des Betäubungsmittel- und Atomrechts, des Konsumcannabisgesetzes, des Medizinal-Cannabisgesetzes, des Anti-Doping-Gesetzes und des Tierschutzgesetzes bleiben unberührt.</w:t>
      </w:r>
    </w:p>
    <w:p>
      <w:r>
        <w:rPr>
          <w:color w:val="555555"/>
          <w:sz w:val="17"/>
        </w:rPr>
        <w:t xml:space="preserve">Zitiervorschlag: § 81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https://recht.nulegal.eu/gesetze/AMG%201976/81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