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74a AMG 1976 — Informationsbeauftragter</w:t>
      </w:r>
    </w:p>
    <w:p>
      <w:r>
        <w:rPr>
          <w:color w:val="555555"/>
          <w:sz w:val="18"/>
        </w:rPr>
        <w:t xml:space="preserve">Arzneimittelgesetz</w:t>
      </w:r>
    </w:p>
    <w:p>
      <w:r>
        <w:rPr>
          <w:color w:val="555555"/>
          <w:sz w:val="18"/>
        </w:rPr>
        <w:t xml:space="preserve">Stand: 28.01.2022 (konsolidierte Textfassung, kein amtliches Inkrafttretensdatum)</w:t>
      </w:r>
    </w:p>
    <w:p>
      <w:r>
        <w:t xml:space="preserve">(1) Wer als pharmazeutischer Unternehmer Fertigarzneimittel in den Verkehr bringt, hat eine Person mit der erforderlichen Sachkenntnis und der zur Ausübung ihrer Tätigkeit erforderlichen Zuverlässigkeit zu beauftragen, die Aufgabe der wissenschaftlichen Information über die Arzneimittel verantwortlich wahrzunehmen (Informationsbeauftragter). Der Informationsbeauftragte ist insbesondere dafür verantwortlich, dass das Verbot des § 8 Abs. 1 Nr. 2 beachtet wird und die Kennzeichnung, die Packungsbeilage, die Fachinformation und die Werbung mit dem Inhalt der Zulassung oder der Registrierung oder, sofern das Arzneimittel von der Zulassung oder Registrierung freigestellt ist, mit den Inhalten der Verordnungen über die Freistellung von der Zulassung oder von der Registrierung nach § 36 oder § 39 Abs. 3 übereinstimmen. Satz 1 gilt nicht für Personen, soweit sie nach § 13 Absatz 2 Nummer 1, 2 oder 5 keiner Herstellungserlaubnis bedürfen. Andere Personen als in Satz 1 bezeichnet dürfen eine Tätigkeit als Informationsbeauftragter nicht ausüben.</w:t>
      </w:r>
    </w:p>
    <w:p>
      <w:r>
        <w:t xml:space="preserve">(2) Der Informationsbeauftragte kann gleichzeitig Stufenplanbeauftragter sein.</w:t>
      </w:r>
    </w:p>
    <w:p>
      <w:r>
        <w:t xml:space="preserve">(3) Der pharmazeutische Unternehmer hat der zuständigen Behörde den Informationsbeauftragten und jeden Wechsel vorher mitzuteilen. Bei einem unvorhergesehenen Wechsel des Informationsbeauftragten hat die Mitteilung unverzüglich zu erfolgen.</w:t>
      </w:r>
    </w:p>
    <w:p>
      <w:r>
        <w:rPr>
          <w:color w:val="555555"/>
          <w:sz w:val="17"/>
        </w:rPr>
        <w:t xml:space="preserve">Zitiervorschlag: § 74a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