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73a AMG 1976 — Ausfuhr</w:t>
      </w:r>
    </w:p>
    <w:p>
      <w:r>
        <w:rPr>
          <w:color w:val="555555"/>
          <w:sz w:val="18"/>
        </w:rPr>
        <w:t xml:space="preserve">Arzneimittelgesetz</w:t>
      </w:r>
    </w:p>
    <w:p>
      <w:r>
        <w:rPr>
          <w:color w:val="555555"/>
          <w:sz w:val="18"/>
        </w:rPr>
        <w:t xml:space="preserve">Stand: 10.06.2019 (konsolidierte Textfassung, kein amtliches Inkrafttretensdatum)</w:t>
      </w:r>
    </w:p>
    <w:p>
      <w:r>
        <w:t xml:space="preserve">(1) Abweichend von den §§ 5 und 8 Absatz 1 und 2 dürfen die dort bezeichneten Arzneimittel ausgeführt oder aus dem Geltungsbereich des Gesetzes verbracht werden, wenn die zuständige Behörde des Bestimmungslandes die Einfuhr oder das Verbringen genehmigt hat. Aus der Genehmigung nach Satz 1 muss hervorgehen, dass der zuständigen Behörde des Bestimmungslandes die Versagungsgründe bekannt sind, die dem Inverkehrbringen im Geltungsbereich dieses Gesetzes entgegenstehen.</w:t>
      </w:r>
    </w:p>
    <w:p>
      <w:r>
        <w:t xml:space="preserve">(2) Auf Antrag des pharmazeutischen Unternehmers, des Herstellers, des Ausführers oder der zuständigen Behörde des Bestimmungslandes stellt die zuständige Behörde oder die zuständige Bundesoberbehörde, soweit es sich um zulassungsbezogene Angaben handelt und der Zulassungsinhaber seinen Sitz außerhalb des Geltungsbereiches des Arzneimittelgesetzes hat, ein Zertifikat entsprechend dem Zertifikatsystem der Weltgesundheitsorganisation aus. Wird der Antrag von der zuständigen Behörde des Bestimmungslandes gestellt, ist vor Erteilung des Zertifikats die Zustimmung des Herstellers einzuholen.</w:t>
      </w:r>
    </w:p>
    <w:p>
      <w:r>
        <w:rPr>
          <w:color w:val="555555"/>
          <w:sz w:val="17"/>
        </w:rPr>
        <w:t xml:space="preserve">Zitiervorschlag: § 73a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