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72b AMG 1976 — Einfuhrerlaubnis und Zertifikate für Gewebe und bestimmte Gewebezubereitungen</w:t>
      </w:r>
    </w:p>
    <w:p>
      <w:r>
        <w:rPr>
          <w:color w:val="555555"/>
          <w:sz w:val="18"/>
        </w:rPr>
        <w:t xml:space="preserve">Arzneimittelgesetz</w:t>
      </w:r>
    </w:p>
    <w:p>
      <w:r>
        <w:rPr>
          <w:color w:val="555555"/>
          <w:sz w:val="18"/>
        </w:rPr>
        <w:t xml:space="preserve">Stand: 10.06.2019 (konsolidierte Textfassung, kein amtliches Inkrafttretensdatum)</w:t>
      </w:r>
    </w:p>
    <w:p>
      <w:r>
        <w:t xml:space="preserve">(1) Gewebe im Sinne von § 1a Nummer 4 des Transplantationsgesetzes oder Gewebezubereitungen im Sinne von § 20c Absatz 1 Satz 1 oder Satz 2 dürfen nur von einer einführenden Gewebeeinrichtung eingeführt werden, die diese Tätigkeit gewerbs- oder berufsmäßig ausübt und die über die Einfuhr einen Vertrag mit einem Drittstaatlieferanten geschlossen hat. Drittstaatlieferant ist eine Gewebeeinrichtung oder eine andere Stelle in einem Staat, der weder Mitgliedstaat der Europäischen Union noch anderer Vertragsstaat des Abkommens über den Europäischen Wirtschaftsraum ist, die für die Ausfuhr von Geweben oder Gewebezubereitungen, die sie an die einführende Gewebeeinrichtung liefert, verantwortlich ist. Die einführende Gewebeeinrichtung bedarf einer Erlaubnis der zuständigen Behörde. Die Entscheidung über die Erteilung der Erlaubnis trifft die zuständige Behörde des Landes, in dem die Betriebsstätte der einführenden Gewebeeinrichtung liegt oder liegen soll, im Benehmen mit der zuständigen Bundesoberbehörde. Für die Einfuhr von Gewebezubereitungen zur unmittelbaren Anwendung gilt § 72 Absatz 2 entsprechend.</w:t>
      </w:r>
    </w:p>
    <w:p>
      <w:r>
        <w:t xml:space="preserve">(1a) Dem Antrag auf Erlaubnis nach Absatz 1 Satz 3 sind die in den Anhängen I und III Teil A der Richtlinie (EU) 2015/566 genannten Informationen und Unterlagen beizufügen. Abweichend von Satz 1 sind einem Antrag auf Erteilung einer Erlaubnis, Gewebezubereitungen zur unmittelbaren Anwendung bei Menschen einzuführen, nur die in Anhang I Teil A, B und C Nummer 1 bis 3 und in Anhang III Teil A Nummer 1 und 3 der Richtlinie (EU) 2015/566 genannten Informationen und Unterlagen beizufügen. § 20c Absatz 2 bis 5 und 7 gilt entsprechend.</w:t>
      </w:r>
    </w:p>
    <w:p>
      <w:r>
        <w:t xml:space="preserve">(2) Die einführende Gewebeeinrichtung nach Absatz 1 darf die Gewebe oder Gewebezubereitungen nur einführen, wenn</w:t>
      </w:r>
    </w:p>
    <w:p>
      <w:pPr>
        <w:ind w:left="420"/>
      </w:pPr>
      <w:r>
        <w:t xml:space="preserve">1. die Behörde des Herkunftslandes durch ein Zertifikat bestätigt hat, dass die Gewinnung, Laboruntersuchung, Be- oder Verarbeitung, Konservierung, Lagerung oder Prüfung nach Standards durchgeführt wurden, die den von der Europäischen Union festgelegten Standards der Guten fachlichen Praxis mindestens gleichwertig sind, und solche Zertifikate gegenseitig anerkannt sind, oder</w:t>
      </w:r>
    </w:p>
    <w:p>
      <w:pPr>
        <w:ind w:left="420"/>
      </w:pPr>
      <w:r>
        <w:t xml:space="preserve">2. die für die einführende Gewebeeinrichtung zuständige Behörde bescheinigt hat, dass die Standards der Guten fachlichen Praxis bei der Gewinnung, Laboruntersuchung, Be- oder Verarbeitung, Konservierung, Lagerung oder Prüfung eingehalten werden, nachdem sie oder eine zuständige Behörde eines anderen Mitgliedstaates der Europäischen Union oder eines anderen Vertragsstaates des Abkommens über den Europäischen Wirtschaftsraum sich darüber im Herstellungsland vergewissert hat, oder</w:t>
      </w:r>
    </w:p>
    <w:p>
      <w:pPr>
        <w:ind w:left="420"/>
      </w:pPr>
      <w:r>
        <w:t xml:space="preserve">3. die für die einführende Gewebeeinrichtung zuständige Behörde bescheinigt hat, dass die Einfuhr im öffentlichen Interesse ist, wenn ein Zertifikat nach Nummer 1 nicht vorliegt und eine Bescheinigung nach Nummer 2 nicht möglich ist.</w:t>
      </w:r>
    </w:p>
    <w:p>
      <w:r>
        <w:t xml:space="preserve">Die einführende Gewebeeinrichtung hat die in Anhang III Teil B der Richtlinie (EU) 2015/566 genannte Dokumentation bereitzuhalten und auf Verlangen der zuständigen Behörde vorzulegen. Abweichend von Satz 1 Nr. 2 kann die zuständige Behörde von einer Besichtigung der Entnahmeeinrichtungen im Herkunftsland absehen, wenn die von der einführenden Gewebeeinrichtung eingereichten Unterlagen zu keinen Beanstandungen Anlass geben oder ihr Einrichtungen oder Betriebsstätten sowie das Qualitätssicherungssystem desjenigen, der im Herkunftsland das Gewebe gewinnt, bereits bekannt sind.</w:t>
      </w:r>
    </w:p>
    <w:p>
      <w:r>
        <w:t xml:space="preserve">(2a) Die zuständige Behörde stellt dem Inhaber der Erlaubnis nach Absatz 1 eine Bescheinigung nach Maßgabe des Anhangs II der Richtlinie (EU) 2015/566 aus, wenn ein Zertifikat nach Absatz 2 Satz 1 Nummer 1 vorliegt oder die Voraussetzungen für eine Bescheinigung nach Absatz 2 Satz 1 Nummer 2, auch in Verbindung mit Absatz 2 Satz 3, erfüllt sind.</w:t>
      </w:r>
    </w:p>
    <w:p>
      <w:r>
        <w:t xml:space="preserve">(2b) Die Absätze 2 und 2a gelten nicht für hämatopoetische Stammzellzubereitungen aus dem Knochenmark, die zur gerichteten, für eine bestimmte Person vorgesehenen Anwendung bestimmt sind.</w:t>
      </w:r>
    </w:p>
    <w:p>
      <w:r>
        <w:t xml:space="preserve">(2c) Der Inhaber der Erlaubnis nach Absatz 1 Satz 3 hat jede Veränderung der in § 20c Absatz 2 genannten Voraussetzungen und jede wesentliche Änderung seiner Einfuhrtätigkeiten unter Vorlage von Nachweisen der zuständigen Behörde im Voraus anzuzeigen. Der Inhaber der Erlaubnis darf die Änderung erst vornehmen, wenn die zuständige Behörde eine schriftliche Erlaubnis erteilt hat. Als wesentliche Änderung der Einfuhrtätigkeiten gelten insbesondere Änderungen im Hinblick auf</w:t>
      </w:r>
    </w:p>
    <w:p>
      <w:pPr>
        <w:ind w:left="420"/>
      </w:pPr>
      <w:r>
        <w:t xml:space="preserve">1. die Art der eingeführten Gewebe oder Gewebezubereitungen,</w:t>
      </w:r>
    </w:p>
    <w:p>
      <w:pPr>
        <w:ind w:left="420"/>
      </w:pPr>
      <w:r>
        <w:t xml:space="preserve">2. die in einem Drittstaat, der weder Mitgliedstaat der Europäischen Union noch anderer Vertragsstaat des Abkommens über den Europäischen Wirtschaftsraum ist, ausgeübten Tätigkeiten, die sich auf die Qualität und die Sicherheit der eingeführten Gewebe oder Gewebezubereitungen auswirken können, oder</w:t>
      </w:r>
    </w:p>
    <w:p>
      <w:pPr>
        <w:ind w:left="420"/>
      </w:pPr>
      <w:r>
        <w:t xml:space="preserve">3. die eingesetzten Drittstaatlieferanten.</w:t>
      </w:r>
    </w:p>
    <w:p>
      <w:r>
        <w:t xml:space="preserve">Nimmt der Inhaber der Erlaubnis eine einmalige Einfuhr im Sinne des § 72c Absatz 2 von Geweben oder Gewebezubereitungen vor, die von einem Drittstaatlieferanten stammen, der nicht Gegenstand dieser Erlaubnis ist, so gilt eine solche einmalige Einfuhr nicht als wesentliche Änderung, sofern die Erlaubnis der einführenden Gewebeeinrichtung die Einfuhr derselben Art von Geweben oder Gewebezubereitungen von einem anderen Drittstaatlieferanten umfasst.</w:t>
      </w:r>
    </w:p>
    <w:p>
      <w:r>
        <w:t xml:space="preserve">(2d) Der Inhaber der Erlaubnis hat der zuständigen Behörde unverzüglich Folgendes mitzuteilen:</w:t>
      </w:r>
    </w:p>
    <w:p>
      <w:pPr>
        <w:ind w:left="420"/>
      </w:pPr>
      <w:r>
        <w:t xml:space="preserve">1. den Widerruf, die Rücknahme oder die Anordnung des Ruhens der Genehmigung, Erlaubnis oder Bescheinigung eines Drittstaatlieferanten für die Ausfuhr von Geweben oder Gewebezubereitungen durch die zuständige Behörde des Staates, in dem der Drittstaatlieferant ansässig ist,</w:t>
      </w:r>
    </w:p>
    <w:p>
      <w:pPr>
        <w:ind w:left="420"/>
      </w:pPr>
      <w:r>
        <w:t xml:space="preserve">2. jede sonstige Entscheidung, die</w:t>
      </w:r>
    </w:p>
    <w:p>
      <w:pPr>
        <w:ind w:left="780"/>
      </w:pPr>
      <w:r>
        <w:t xml:space="preserve">a) wegen Nichteinhaltung der Bestimmungen von der zuständigen Behörde des Staates, in dem der Drittstaatlieferant ansässig ist, getroffen wurde und</w:t>
      </w:r>
    </w:p>
    <w:p>
      <w:pPr>
        <w:ind w:left="780"/>
      </w:pPr>
      <w:r>
        <w:t xml:space="preserve">b) für die Qualität und die Sicherheit der eingeführten Gewebe oder Gewebezubereitungen relevant sein kann,</w:t>
      </w:r>
    </w:p>
    <w:p>
      <w:pPr>
        <w:ind w:left="420"/>
      </w:pPr>
      <w:r>
        <w:t xml:space="preserve">3. die vollständige oder teilweise Einstellung seiner Einfuhrtätigkeit und</w:t>
      </w:r>
    </w:p>
    <w:p>
      <w:pPr>
        <w:ind w:left="420"/>
      </w:pPr>
      <w:r>
        <w:t xml:space="preserve">4. einen unvorhergesehenen Wechsel der verantwortlichen Person nach § 20c.</w:t>
      </w:r>
    </w:p>
    <w:p>
      <w:r>
        <w:t xml:space="preserve">(3) Das Bundesministerium wird ermächtigt, durch Rechtsverordnung mit Zustimmung des Bundesrates die weiteren Voraussetzungen für die Einfuhr von Geweben oder Gewebezubereitungen nach Absatz 2 zu bestimmen, um eine ordnungsgemäße Qualität der Gewebe oder Gewebezubereitungen zu gewährleisten. Es kann dabei insbesondere Regelungen zu den von der verantwortlichen Person nach § 20c durchzuführenden Prüfungen und der Durchführung der Überwachung im Herkunftsland durch die zuständige Behörde treffen.</w:t>
      </w:r>
    </w:p>
    <w:p>
      <w:r>
        <w:t xml:space="preserve">(4) Absatz 2 Satz 1 findet auf die Einfuhr von Gewebe und Gewebezubereitungen im Sinne von Absatz 1 Anwendung, soweit ihre Überwachung durch eine Rechtsverordnung nach § 54, nach § 12 des Transfusionsgesetzes oder nach § 16a des Transplantationsgesetzes geregelt ist.</w:t>
      </w:r>
    </w:p>
    <w:p>
      <w:r>
        <w:t xml:space="preserve">(5) (weggefallen)</w:t>
      </w:r>
    </w:p>
    <w:p>
      <w:r>
        <w:rPr>
          <w:color w:val="555555"/>
          <w:sz w:val="17"/>
        </w:rPr>
        <w:t xml:space="preserve">Zitiervorschlag: § 72b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https://recht.nulegal.eu/gesetze/AMG%201976/72b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