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AMG 1976 — Maßnahmen der zuständigen Behörden</w:t>
      </w:r>
    </w:p>
    <w:p>
      <w:r>
        <w:rPr>
          <w:color w:val="555555"/>
          <w:sz w:val="18"/>
        </w:rPr>
        <w:t xml:space="preserve">Arzneimittelgesetz</w:t>
      </w:r>
    </w:p>
    <w:p>
      <w:r>
        <w:rPr>
          <w:color w:val="555555"/>
          <w:sz w:val="18"/>
        </w:rPr>
        <w:t xml:space="preserve">Stand: 28.01.2022 (konsolidierte Textfassung, kein amtliches Inkrafttretensdatum)</w:t>
      </w:r>
    </w:p>
    <w:p>
      <w:r>
        <w:t xml:space="preserve">(1) Die zuständigen Behörden treffen die zur Beseitigung festgestellter Verstöße und die zur Verhütung künftiger Verstöße notwendigen Anordnungen. Sie können insbesondere das Inverkehrbringen von Arzneimitteln oder Wirkstoffen untersagen, deren Rückruf anordnen und diese sicherstellen, wenn</w:t>
      </w:r>
    </w:p>
    <w:p>
      <w:pPr>
        <w:ind w:left="420"/>
      </w:pPr>
      <w:r>
        <w:t xml:space="preserve">1. die erforderliche Zulassung oder Registrierung für das Arzneimittel nicht vorliegt oder deren Ruhen angeordnet ist,</w:t>
      </w:r>
    </w:p>
    <w:p>
      <w:pPr>
        <w:ind w:left="420"/>
      </w:pPr>
      <w:r>
        <w:t xml:space="preserve">2. das Arzneimittel oder der Wirkstoff nicht nach den anerkannten pharmazeutischen Regeln hergestellt ist oder nicht die nach den anerkannten pharmazeutischen Regeln angemessene Qualität aufweist,</w:t>
      </w:r>
    </w:p>
    <w:p>
      <w:pPr>
        <w:ind w:left="420"/>
      </w:pPr>
      <w:r>
        <w:t xml:space="preserve">2a. der begründete Verdacht besteht, dass es sich um ein gefälschtes Arzneimittel oder einen gefälschten Wirkstoff handelt,</w:t>
      </w:r>
    </w:p>
    <w:p>
      <w:pPr>
        <w:ind w:left="420"/>
      </w:pPr>
      <w:r>
        <w:t xml:space="preserve">3. dem Arzneimittel die therapeutische Wirksamkeit fehlt,</w:t>
      </w:r>
    </w:p>
    <w:p>
      <w:pPr>
        <w:ind w:left="420"/>
      </w:pPr>
      <w:r>
        <w:t xml:space="preserve">4. der begründete Verdacht besteht, dass das Arzneimittel schädliche Wirkungen hat, die über ein nach den Erkenntnissen der medizinischen Wissenschaft vertretbares Maß hinausgehen,</w:t>
      </w:r>
    </w:p>
    <w:p>
      <w:pPr>
        <w:ind w:left="420"/>
      </w:pPr>
      <w:r>
        <w:t xml:space="preserve">5. die vorgeschriebenen Qualitätskontrollen nicht durchgeführt sind,</w:t>
      </w:r>
    </w:p>
    <w:p>
      <w:pPr>
        <w:ind w:left="420"/>
      </w:pPr>
      <w:r>
        <w:t xml:space="preserve">6. die erforderliche Erlaubnis für das Herstellen des Arzneimittels oder des Wirkstoffes oder das Verbringen in den Geltungsbereich des Gesetzes nicht vorliegt oder ein Grund zur Rücknahme oder zum Widerruf der Erlaubnis nach § 18 Abs. 1 gegeben ist oder</w:t>
      </w:r>
    </w:p>
    <w:p>
      <w:pPr>
        <w:ind w:left="420"/>
      </w:pPr>
      <w:r>
        <w:t xml:space="preserve">7. die erforderliche Erlaubnis zum Betreiben eines Großhandels nach § 52a nicht vorliegt oder ein Grund für die Rücknahme oder den Widerruf der Erlaubnis nach § 52a Abs. 5 gegeben ist.</w:t>
      </w:r>
    </w:p>
    <w:p>
      <w:r>
        <w:t xml:space="preserve">(1a) Bei Arzneimitteln, für die eine Genehmigung für das Inverkehrbringen oder Zulassung</w:t>
      </w:r>
    </w:p>
    <w:p>
      <w:pPr>
        <w:ind w:left="420"/>
      </w:pPr>
      <w:r>
        <w:t xml:space="preserve">1. gemäß der Verordnung (EG) Nr. 726/2004 oder</w:t>
      </w:r>
    </w:p>
    <w:p>
      <w:pPr>
        <w:ind w:left="420"/>
      </w:pPr>
      <w:r>
        <w:t xml:space="preserve">2. im Verfahren der Anerkennung gemäß Kapitel 4 der Richtlinie 2001/83/EG oder</w:t>
      </w:r>
    </w:p>
    <w:p>
      <w:pPr>
        <w:ind w:left="420"/>
      </w:pPr>
      <w:r>
        <w:t xml:space="preserve">3. auf Grund eines Gutachtens des Ausschusses gemäß Artikel 4 der Richtlinie 87/22/EWG vom 22. Dezember 1986 vor dem 1. Januar 1995</w:t>
      </w:r>
    </w:p>
    <w:p>
      <w:r>
        <w:t xml:space="preserve">erteilt worden ist, unterrichtet die zuständige Bundesoberbehörde den Ausschuss für Humanarzneimittel über festgestellte Verstöße gegen arzneimittelrechtliche Vorschriften nach Maßgabe der in den genannten Rechtsakten vorgesehenen Verfahren unter Angabe einer eingehenden Begründung und des vorgeschlagenen Vorgehens. Bei diesen Arzneimitteln können die zuständigen Behörden vor der Unterrichtung des Ausschusses nach Satz 1 die zur Beseitigung festgestellter und zur Verhütung künftiger Verstöße notwendigen Anordnungen treffen, sofern diese zum Schutz der menschlichen Gesundheit oder zum Schutz der Umwelt dringend erforderlich sind. In den Fällen des Satzes 1 Nr. 2 und 3 unterrichten die zuständigen Behörden die Europäische Kommission und die anderen Mitgliedstaaten, in den Fällen des Satzes 1 Nr. 1 die Europäische Kommission und die Europäische Arzneimittel-Agentur über die zuständige Bundesoberbehörde spätestens am folgenden Arbeitstag über die Gründe dieser Maßnahmen. Im Fall des Absatzes 1 Satz 2 Nummer 2, 2a und 4 kann auch die zuständige Bundesoberbehörde das Ruhen der Zulassung anordnen oder den Rückruf eines Arzneimittels anordnen, sofern ihr Tätigwerden zum Schutz der in Satz 2 genannten Rechtsgüter dringend erforderlich ist; in diesem Fall gilt Satz 3 entsprechend.</w:t>
      </w:r>
    </w:p>
    <w:p>
      <w:r>
        <w:t xml:space="preserve">(1b) Bei anderen als den in Absatz 1a Satz 1 genannten Arzneimitteln kann die zuständige Bundesoberbehörde im Fall des Absatzes 1 Satz 2 Nummer 2, 2a und 4 den Rückruf eines Arzneimittels anordnen, sofern ihr Tätigwerden zum Schutz der menschlichen Gesundheit oder zum Schutz der Umwelt geboten ist. Erfolgt der Rückruf nach Satz 1 im Zusammenhang mit Maßnahmen nach den §§ 28, 30, 31 Absatz 4 Satz 2 oder nach § 32 Absatz 5, ist die Entscheidung der zuständigen Bundesoberbehörde sofort vollziehbar.</w:t>
      </w:r>
    </w:p>
    <w:p>
      <w:r>
        <w:t xml:space="preserve">(2) Die zuständigen Behörden können das Sammeln von Arzneimitteln untersagen, wenn eine sachgerechte Lagerung der Arzneimittel nicht gewährleistet ist oder wenn der begründete Verdacht besteht, dass die gesammelten Arzneimittel mißbräuchlich verwendet werden. Gesammelte Arzneimittel können sichergestellt werden, wenn durch unzureichende Lagerung oder durch ihre Abgabe die menschliche Gesundheit gefährdet wird.</w:t>
      </w:r>
    </w:p>
    <w:p>
      <w:r>
        <w:t xml:space="preserve">(2a) (weggefallen)</w:t>
      </w:r>
    </w:p>
    <w:p>
      <w:r>
        <w:t xml:space="preserve">(3) Die zuständigen Behörden können Werbematerial sicherstellen, das den Vorschriften über den Verkehr mit Arzneimitteln und über die Werbung auf dem Gebiete des Heilwesens nicht entspricht.</w:t>
      </w:r>
    </w:p>
    <w:p>
      <w:r>
        <w:t xml:space="preserve">(4) Im Fall eines Rückrufs eines Arzneimittels nach Absatz 1a Satz 4 oder nach Absatz 1b Satz 1 kann auch eine öffentliche Warnung durch die zuständige Bundesoberbehörde erfolgen.</w:t>
      </w:r>
    </w:p>
    <w:p>
      <w:r>
        <w:t xml:space="preserve">(5) Die zuständige Behörde kann im Benehmen mit der zuständigen Bundesoberbehörde bei einem Arzneimittel, dessen Abgabe untersagt wurde oder das aus dem Verkehr gezogen wurde, weil</w:t>
      </w:r>
    </w:p>
    <w:p>
      <w:pPr>
        <w:ind w:left="420"/>
      </w:pPr>
      <w:r>
        <w:t xml:space="preserve">1. die Voraussetzungen für das Inverkehrbringen nicht oder nicht mehr vorliegen,</w:t>
      </w:r>
    </w:p>
    <w:p>
      <w:pPr>
        <w:ind w:left="420"/>
      </w:pPr>
      <w:r>
        <w:t xml:space="preserve">2. das Arzneimittel nicht die angegebene Zusammensetzung nach Art und Menge aufweist oder</w:t>
      </w:r>
    </w:p>
    <w:p>
      <w:pPr>
        <w:ind w:left="420"/>
      </w:pPr>
      <w:r>
        <w:t xml:space="preserve">3. die Kontrollen der Arzneimittel oder der Bestandteile und der Zwischenprodukte nicht durchgeführt worden sind oder ein anderes Erfordernis oder eine andere Voraussetzung für die Erteilung der Herstellungserlaubnis nicht erfüllt worden ist,</w:t>
      </w:r>
    </w:p>
    <w:p>
      <w:r>
        <w:t xml:space="preserve">in Ausnahmefällen seine Abgabe an Patienten, die bereits mit diesem Arzneimittel behandelt werden, während einer Übergangszeit gestatten, wenn dies medizinisch vertretbar und für die betroffene Person angezeigt ist.</w:t>
      </w:r>
    </w:p>
    <w:p>
      <w:r>
        <w:rPr>
          <w:color w:val="555555"/>
          <w:sz w:val="17"/>
        </w:rPr>
        <w:t xml:space="preserve">Zitiervorschlag: § 69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