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67b AMG 1976 — EU-Kompendium der Gewebeeinrichtungen, EU-Kompendium der Gewebe- und Zellprodukte, Unterrichtungspflichten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Behörden der Länder geben die in Anhang VIII der Richtlinie 2006/86/EG in der jeweils geltenden Fassung genannten Angaben in das EU-Kompendium der Gewebeeinrichtungen ein. Sie stellen sicher, dass jeder Einrichtung eine EU-Gewebeeinrichtungsnummer eindeutig zugeordnet wird.</w:t>
      </w:r>
    </w:p>
    <w:p>
      <w:r>
        <w:t xml:space="preserve">(2) Bei notwendigen Änderungen aktualisieren die zuständigen Behörden unverzüglich, spätestens nach zehn Werktagen, das EU-Kompendium der Gewebeeinrichtungen. Als Änderungen nach Satz 1 gelten insbesondere</w:t>
      </w:r>
    </w:p>
    <w:p>
      <w:pPr>
        <w:ind w:left="420"/>
      </w:pPr>
      <w:r>
        <w:t xml:space="preserve">1. die erstmalige Erteilung einer Erlaubnis für Einrichtungen, die erlaubnispflichtige Tätigkeiten mit Geweben, Gewebezubereitungen, hämatopoetischen Stammzellen oder Stammzellzubereitungen aus dem peripheren Blut oder aus dem Nabelschnurblut durchführen,</w:t>
      </w:r>
    </w:p>
    <w:p>
      <w:pPr>
        <w:ind w:left="420"/>
      </w:pPr>
      <w:r>
        <w:t xml:space="preserve">2. Änderungen der Erlaubnis, einschließlich Änderungen im Hinblick auf</w:t>
      </w:r>
    </w:p>
    <w:p>
      <w:pPr>
        <w:ind w:left="780"/>
      </w:pPr>
      <w:r>
        <w:t xml:space="preserve">a) eine neue Art von Geweben, Gewebezubereitungen, hämatopoetischen Stammzellen oder Stammzellzubereitungen aus dem peripheren Blut oder aus dem Nabelschnurblut,</w:t>
      </w:r>
    </w:p>
    <w:p>
      <w:pPr>
        <w:ind w:left="780"/>
      </w:pPr>
      <w:r>
        <w:t xml:space="preserve">b) eine neue Tätigkeit mit Geweben, Gewebezubereitungen, hämatopoetischen Stammzellen oder Stammzellzubereitungen aus dem peripheren Blut oder aus dem Nabelschnurblut oder</w:t>
      </w:r>
    </w:p>
    <w:p>
      <w:pPr>
        <w:ind w:left="780"/>
      </w:pPr>
      <w:r>
        <w:t xml:space="preserve">c) neue Nebenbestimmungen zur Erlaubnis,</w:t>
      </w:r>
    </w:p>
    <w:p>
      <w:pPr>
        <w:ind w:left="420"/>
      </w:pPr>
      <w:r>
        <w:t xml:space="preserve">3. jede Rücknahme oder jeder Widerruf der Erlaubnis,</w:t>
      </w:r>
    </w:p>
    <w:p>
      <w:pPr>
        <w:ind w:left="420"/>
      </w:pPr>
      <w:r>
        <w:t xml:space="preserve">4. eine freiwillige, auch teilweise Einstellung der Tätigkeit einer Einrichtung,</w:t>
      </w:r>
    </w:p>
    <w:p>
      <w:pPr>
        <w:ind w:left="420"/>
      </w:pPr>
      <w:r>
        <w:t xml:space="preserve">5. Änderungen der Angaben über eine Einrichtung im Sinne des Anhangs VIII der Richtlinie 2006/86/EG in der jeweils geltenden Fassung sowie</w:t>
      </w:r>
    </w:p>
    <w:p>
      <w:pPr>
        <w:ind w:left="420"/>
      </w:pPr>
      <w:r>
        <w:t xml:space="preserve">6. Änderungen wegen falscher Angaben im EU-Kompendium der Gewebeeinrichtungen.</w:t>
      </w:r>
    </w:p>
    <w:p>
      <w:r>
        <w:t xml:space="preserve">(3) Die zuständigen Behörden unterrichten die zuständigen Behörden eines anderen Mitgliedstaates der Europäischen Union, wenn sie</w:t>
      </w:r>
    </w:p>
    <w:p>
      <w:pPr>
        <w:ind w:left="420"/>
      </w:pPr>
      <w:r>
        <w:t xml:space="preserve">1. im EU-Kompendium der Gewebeeinrichtungen falsche Angaben feststellen, die diesen Mitgliedstaat betreffen, oder</w:t>
      </w:r>
    </w:p>
    <w:p>
      <w:pPr>
        <w:ind w:left="420"/>
      </w:pPr>
      <w:r>
        <w:t xml:space="preserve">2. einen erheblichen Verstoß gegen die Bestimmungen über den Einheitlichen Europäischen Code im Zusammenhang mit diesem Mitgliedstaat feststellen.</w:t>
      </w:r>
    </w:p>
    <w:p>
      <w:r>
        <w:t xml:space="preserve">(4) Die zuständigen Behörden unterrichten die Europäische Kommission und die zuständigen Behörden der anderen Mitgliedstaaten der Europäischen Union, wenn das EU-Kompendium der Gewebe- und Zellprodukte einer Aktualisierung bedarf.</w:t>
      </w:r>
    </w:p>
    <w:p>
      <w:r>
        <w:rPr>
          <w:color w:val="555555"/>
          <w:sz w:val="17"/>
        </w:rPr>
        <w:t xml:space="preserve">Zitiervorschlag: § 67b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https://recht.nulegal.eu/gesetze/AMG%201976/67b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