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59c AMG 1976 — Nachweispflichten für Stoffe, die als Tierarzneimittel verwendet werden können</w:t>
      </w:r>
    </w:p>
    <w:p>
      <w:r>
        <w:rPr>
          <w:color w:val="555555"/>
          <w:sz w:val="18"/>
        </w:rPr>
        <w:t xml:space="preserve">Arzneimittelgesetz</w:t>
      </w:r>
    </w:p>
    <w:p>
      <w:r>
        <w:rPr>
          <w:color w:val="555555"/>
          <w:sz w:val="18"/>
        </w:rPr>
        <w:t xml:space="preserve">Außer Kraft: § 59c ist seit 28.01.2022 nicht mehr im AMG 1976 enthalten. Angezeigt wird die letzte bekannte Fassung, Stand 10.06.2019.</w:t>
      </w:r>
    </w:p>
    <w:p>
      <w:r>
        <w:t xml:space="preserve">Betriebe und Einrichtungen, die Stoffe oder Zubereitungen aus Stoffen, die als Tierarzneimittel oder zur Herstellung von Tierarzneimitteln verwendet werden können und anabole, infektionshemmende, parasitenabwehrende, entzündungshemmende, hormonale oder psychotrope Eigenschaften aufweisen, herstellen, lagern, einführen oder in den Verkehr bringen, haben Nachweise über den Bezug oder die Abgabe dieser Stoffe oder Zubereitungen aus Stoffen zu führen, aus denen sich Vorlieferant oder Empfänger sowie die jeweils erhaltene oder abgegebene Menge ergeben, diese Nachweise mindestens drei Jahre aufzubewahren und auf Verlangen der zuständigen Behörde vorzulegen. Satz 1 gilt auch für Personen, die diese Tätigkeiten berufsmäßig ausüben. Soweit es sich um Stoffe oder Zubereitungen aus Stoffen mit thyreostatischer, östrogener, androgener oder gestagener Wirkung oder ß-Agonisten mit anaboler Wirkung handelt, sind diese Nachweise in Form eines Registers zu führen, in dem die hergestellten oder erworbenen Mengen sowie die zur Herstellung von Arzneimitteln veräußerten oder verwendeten Mengen chronologisch unter Angabe des Vorlieferanten und Empfängers erfasst werden.</w:t>
      </w:r>
    </w:p>
    <w:p>
      <w:r>
        <w:rPr>
          <w:color w:val="555555"/>
          <w:sz w:val="17"/>
        </w:rPr>
        <w:t xml:space="preserve">Zitiervorschlag: § 59c AMG 1976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