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AMG 1976 — Anwendung bei Tieren, die der Gewinnung von Lebensmitteln dienen</w:t>
      </w:r>
    </w:p>
    <w:p>
      <w:r>
        <w:rPr>
          <w:color w:val="555555"/>
          <w:sz w:val="18"/>
        </w:rPr>
        <w:t xml:space="preserve">Arzneimittelgesetz</w:t>
      </w:r>
    </w:p>
    <w:p>
      <w:r>
        <w:rPr>
          <w:color w:val="555555"/>
          <w:sz w:val="18"/>
        </w:rPr>
        <w:t xml:space="preserve">Außer Kraft: § 58 ist seit 28.01.2022 nicht mehr im AMG 1976 enthalten. Angezeigt wird die letzte bekannte Fassung, Stand 10.06.2019.</w:t>
      </w:r>
    </w:p>
    <w:p>
      <w:r>
        <w:t xml:space="preserve">(1) Zusätzlich zu der Anforderung des § 57a dürfen Tierhalter und andere Personen, die nicht Tierärzte sind, verschreibungspflichtige Arzneimittel oder andere vom Tierarzt verschriebene oder erworbene Arzneimittel bei Tieren, die der Gewinnung von Lebensmitteln dienen, vorbehaltlich einer Maßnahme der zuständigen Behörde nach § 58d Absatz 3 Satz 2 Nummer 2 nur nach einer tierärztlichen Behandlungsanweisung für den betreffenden Fall anwenden. Nicht verschreibungspflichtige Arzneimittel, die nicht für den Verkehr außerhalb der Apotheken freigegeben sind und deren Anwendung nicht auf Grund einer tierärztlichen Behandlungsanweisung erfolgt, dürfen nur angewendet werden,</w:t>
      </w:r>
    </w:p>
    <w:p>
      <w:pPr>
        <w:ind w:left="420"/>
      </w:pPr>
      <w:r>
        <w:t xml:space="preserve">1. wenn sie zugelassen sind oder in den Anwendungsbereich einer Rechtsverordnung nach § 36 oder § 39 Abs. 3 Satz 1 Nr. 2 fallen oder sie nach § 38 Abs. 1 in den Verkehr gebracht werden dürfen,</w:t>
      </w:r>
    </w:p>
    <w:p>
      <w:pPr>
        <w:ind w:left="420"/>
      </w:pPr>
      <w:r>
        <w:t xml:space="preserve">2. für die in der Kennzeichnung oder Packungsbeilage der Arzneimittel bezeichneten Tierarten und Anwendungsgebiete und</w:t>
      </w:r>
    </w:p>
    <w:p>
      <w:pPr>
        <w:ind w:left="420"/>
      </w:pPr>
      <w:r>
        <w:t xml:space="preserve">3. in einer Menge, die nach Dosierung und Anwendungsdauer der Kennzeichnung des Arzneimittels entspricht.</w:t>
      </w:r>
    </w:p>
    <w:p>
      <w:r>
        <w:t xml:space="preserve">Abweichend von Satz 2 dürfen Arzneimittel im Sinne des § 43 Abs. 4 Satz 3 nur nach der veterinärbehördlichen Anweisung nach § 43 Abs. 4 Satz 4 angewendet werden.</w:t>
      </w:r>
    </w:p>
    <w:p>
      <w:r>
        <w:t xml:space="preserve">(2) Das Bundesministerium für Ernährung und Landwirtschaft wird ermächtigt, im Einvernehmen mit dem Bundesministerium durch Rechtsverordnung mit Zustimmung des Bundesrates zu verbieten, dass Arzneimittel, die zur Anwendung bei Tieren bestimmt sind, die der Gewinnung von Lebensmitteln dienen, für bestimmte Anwendungsgebiete oder -bereiche in den Verkehr gebracht oder zu diesen Zwecken angewendet werden, soweit es geboten ist, um eine mittelbare Gefährdung der Gesundheit des Menschen zu verhüten.</w:t>
      </w:r>
    </w:p>
    <w:p>
      <w:r>
        <w:t xml:space="preserve">(3) Das Bundesministerium für Ernährung und Landwirtschaft wird ferner ermächtigt, im Einvernehmen mit dem Bundesministerium durch Rechtsverordnung mit Zustimmung des Bundesrates Einzelheiten zu technischen Anlagen für die orale Anwendung von Arzneimitteln bei Tieren, die Instandhaltung und Reinigung dieser Anlagen und zu Sorgfaltspflichten des Tierhalters festzulegen, um eine Verschleppung antimikrobiell wirksamer Stoffe zu verringern.</w:t>
      </w:r>
    </w:p>
    <w:p>
      <w:r>
        <w:rPr>
          <w:color w:val="555555"/>
          <w:sz w:val="17"/>
        </w:rPr>
        <w:t xml:space="preserve">Zitiervorschlag: § 58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