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56a AMG 1976 — Verschreibung, Abgabe und Anwendung von Arzneimitteln durch Tierärzte</w:t>
      </w:r>
    </w:p>
    <w:p>
      <w:r>
        <w:rPr>
          <w:color w:val="555555"/>
          <w:sz w:val="18"/>
        </w:rPr>
        <w:t xml:space="preserve">Arzneimittelgesetz</w:t>
      </w:r>
    </w:p>
    <w:p>
      <w:r>
        <w:rPr>
          <w:color w:val="555555"/>
          <w:sz w:val="18"/>
        </w:rPr>
        <w:t xml:space="preserve">Außer Kraft: § 56a ist seit 28.01.2022 nicht mehr im AMG 1976 enthalten. Angezeigt wird die letzte bekannte Fassung, Stand 10.06.2019.</w:t>
      </w:r>
    </w:p>
    <w:p>
      <w:r>
        <w:t xml:space="preserve">(1) Der Tierarzt darf für den Verkehr außerhalb der Apotheken nicht freigegebene Arzneimittel dem Tierhalter vorbehaltlich besonderer Bestimmungen auf Grund des Absatzes 3 nur verschreiben oder an diesen nur abgeben, wenn</w:t>
      </w:r>
    </w:p>
    <w:p>
      <w:pPr>
        <w:ind w:left="420"/>
      </w:pPr>
      <w:r>
        <w:t xml:space="preserve">1. sie für die von ihm behandelten Tiere bestimmt sind,</w:t>
      </w:r>
    </w:p>
    <w:p>
      <w:pPr>
        <w:ind w:left="420"/>
      </w:pPr>
      <w:r>
        <w:t xml:space="preserve">2. sie zugelassen sind oder sie auf Grund des § 21 Abs. 2 Nr. 4 in Verbindung mit Abs. 1 in Verkehr gebracht werden dürfen oder in den Anwendungsbereich einer Rechtsverordnung nach § 36 oder § 39 Abs. 3 Satz 1 Nr. 2 fallen oder sie nach § 38 Abs. 1 in den Verkehr gebracht werden dürfen,</w:t>
      </w:r>
    </w:p>
    <w:p>
      <w:pPr>
        <w:ind w:left="420"/>
      </w:pPr>
      <w:r>
        <w:t xml:space="preserve">3. sie nach der Zulassung für das Anwendungsgebiet bei der behandelten Tierart bestimmt sind,</w:t>
      </w:r>
    </w:p>
    <w:p>
      <w:pPr>
        <w:ind w:left="420"/>
      </w:pPr>
      <w:r>
        <w:t xml:space="preserve">4. ihre Anwendung nach Anwendungsgebiet und Menge nach dem Stand der veterinärmedizinischen Wissenschaft gerechtfertigt ist, um das Behandlungsziel in dem betreffenden Fall zu erreichen, und</w:t>
      </w:r>
    </w:p>
    <w:p>
      <w:pPr>
        <w:ind w:left="420"/>
      </w:pPr>
      <w:r>
        <w:t xml:space="preserve">5. die zur Anwendung bei Tieren, die der Gewinnung von Lebensmitteln dienen,</w:t>
      </w:r>
    </w:p>
    <w:p>
      <w:pPr>
        <w:ind w:left="780"/>
      </w:pPr>
      <w:r>
        <w:t xml:space="preserve">a) vorbehaltlich des Buchstaben b, verschriebene oder abgegebene Menge verschreibungspflichtiger Arzneimittel zur Anwendung innerhalb der auf die Abgabe folgenden 31 Tage bestimmt ist, oder</w:t>
      </w:r>
    </w:p>
    <w:p>
      <w:pPr>
        <w:ind w:left="780"/>
      </w:pPr>
      <w:r>
        <w:t xml:space="preserve">b verschriebene oder abgegebene Menge von Arzneimitteln, die antimikrobiell wirksame Stoffe enthalten und nach den Zulassungsbedingungen nicht ausschließlich zur lokalen Anwendung vorgesehen sind, zur Anwendung innerhalb der auf die Abgabe folgenden sieben Tage bestimmt ist,</w:t>
      </w:r>
    </w:p>
    <w:p>
      <w:pPr>
        <w:ind w:left="420"/>
      </w:pPr>
      <w:r>
        <w:t xml:space="preserve">sofern die Zulassungsbedingungen nicht eine längere Anwendungsdauer vorsehen.</w:t>
      </w:r>
    </w:p>
    <w:p>
      <w:r>
        <w:t xml:space="preserve">Der Tierarzt darf verschreibungspflichtige Arzneimittel zur Anwendung bei Tieren, die der Gewinnung von Lebensmitteln dienen, für den jeweiligen Behandlungsfall erneut nur abgeben oder verschreiben, sofern er in einem Zeitraum von 31 Tagen vor dem Tag der entsprechend seiner Behandlungsanweisung vorgesehenen letzten Anwendung der abzugebenden oder zu verschreibenden Arzneimittel die behandelten Tiere oder den behandelten Tierbestand untersucht hat. Satz 1 Nr. 2 bis 4 gilt für die Anwendung durch den Tierarzt entsprechend. Abweichend von Satz 1 darf der Tierarzt dem Tierhalter Arzneimittel-Vormischungen weder verschreiben noch an diesen abgeben.</w:t>
      </w:r>
    </w:p>
    <w:p>
      <w:r>
        <w:t xml:space="preserve">(1a) Absatz 1 Satz 3 gilt nicht, soweit ein Tierarzt Arzneimittel bei einem von ihm behandelten Tier anwendet und die Arzneimittel ausschließlich zu diesem Zweck von ihm hergestellt worden sind.</w:t>
      </w:r>
    </w:p>
    <w:p>
      <w:r>
        <w:t xml:space="preserve">(2) Soweit die notwendige arzneiliche Versorgung der Tiere ansonsten ernstlich gefährdet wäre und eine unmittelbare oder mittelbare Gefährdung der Gesundheit von Mensch und Tier nicht zu befürchten ist, darf der Tierarzt bei Einzeltieren oder Tieren eines bestimmten Bestandes abweichend von Absatz 1 Satz 1 Nr. 3, auch in Verbindung mit Absatz 1 Satz 3, nachfolgend bezeichnete zugelassene oder von der Zulassung freigestellte Arzneimittel verschreiben, anwenden oder abgeben:</w:t>
      </w:r>
    </w:p>
    <w:p>
      <w:pPr>
        <w:ind w:left="420"/>
      </w:pPr>
      <w:r>
        <w:t xml:space="preserve">1. soweit für die Behandlung ein zugelassenes Arzneimittel für die betreffende Tierart und das betreffende Anwendungsgebiet nicht zur Verfügung steht, ein Arzneimittel mit der Zulassung für die betreffende Tierart und ein anderes Anwendungsgebiet;</w:t>
      </w:r>
    </w:p>
    <w:p>
      <w:pPr>
        <w:ind w:left="420"/>
      </w:pPr>
      <w:r>
        <w:t xml:space="preserve">2. soweit ein nach Nummer 1 geeignetes Arzneimittel für die betreffende Tierart nicht zur Verfügung steht, ein für eine andere Tierart zugelassenes Arzneimittel;</w:t>
      </w:r>
    </w:p>
    <w:p>
      <w:pPr>
        <w:ind w:left="420"/>
      </w:pPr>
      <w:r>
        <w:t xml:space="preserve">3. soweit ein nach Nummer 2 geeignetes Arzneimittel nicht zur Verfügung steht, ein zur Anwendung beim Menschen zugelassenes Arzneimittel oder, auch abweichend von Absatz 1 Satz 1 Nr. 2, auch in Verbindung mit Absatz 1 Satz 3, ein Arzneimittel, das in einem Mitgliedstaat der Europäischen Union oder einem anderen Vertragsstaat des Abkommens über den Europäischen Wirtschaftsraum zur Anwendung bei Tieren zugelassen ist; im Falle von Tieren, die der Gewinnung von Lebensmitteln dienen, jedoch nur solche Arzneimittel aus anderen Mitgliedstaaten der Europäischen Union oder anderen Vertragsstaaten des Abkommens über den Europäischen Wirtschaftsraum, die zur Anwendung bei Tieren, die der Gewinnung von Lebensmitteln dienen, zugelassen sind;</w:t>
      </w:r>
    </w:p>
    <w:p>
      <w:pPr>
        <w:ind w:left="420"/>
      </w:pPr>
      <w:r>
        <w:t xml:space="preserve">4. soweit ein nach Nummer 3 geeignetes Arzneimittel nicht zur Verfügung steht, ein in einer Apotheke oder durch den Tierarzt nach § 13 Abs. 2 Satz 1 Nr. 3 Buchstabe d hergestelltes Arzneimittel.</w:t>
      </w:r>
    </w:p>
    <w:p>
      <w:r>
        <w:t xml:space="preserve">Bei Tieren, die der Gewinnung von Lebensmitteln dienen, darf das Arzneimittel jedoch nur durch den Tierarzt angewendet oder unter seiner Aufsicht verabreicht werden und nur pharmakologisch wirksame Stoffe enthalten, die in Tabelle 1 des Anhangs der Verordnung (EU) Nr. 37/2010 aufgeführt sind. Der Tierarzt hat die Wartezeit anzugeben; das Nähere regelt die Verordnung über tierärztliche Hausapotheken. Die Sätze 1 bis 3 gelten entsprechend für Arzneimittel, die nach § 21 Abs. 2 Nr. 4 in Verbindung mit Abs. 2a hergestellt werden. Registrierte oder von der Registrierung freigestellte homöopathische Arzneimittel dürfen abweichend von Absatz 1 Satz 1 Nr. 3 verschrieben, abgegeben und angewendet werden; dies gilt für Arzneimittel, die zur Anwendung bei Tieren bestimmt sind, die der Gewinnung von Lebensmitteln dienen, nur dann wenn sie ausschließlich Wirkstoffe enthalten, die im Anhang der Verordnung (EU) Nr. 37/2010 als Stoffe aufgeführt sind, für die eine Festlegung von Höchstmengen nicht erforderlich ist.</w:t>
      </w:r>
    </w:p>
    <w:p>
      <w:r>
        <w:t xml:space="preserve">(2a) Abweichend von Absatz 2 Satz 2 dürfen Arzneimittel für Einhufer, die der Gewinnung von Lebensmitteln dienen und für die nichts anderes in Abschnitt IX Teil II des Equidenpasses im Sinne der Verordnung (EG) Nr. 504/2008 der Kommission vom 6. Juni 2008 zur Umsetzung der Richtlinie 90/426/EWG des Rates in Bezug auf Methoden zur Identifizierung von Equiden (ABl. L 149 vom 7.6.2008, S. 3) in der jeweils geltenden Fassung festgelegt ist, auch verschrieben, abgegeben oder angewendet werden, wenn sie Stoffe, die in der Verordnung (EG) Nr. 1950/2006 der Kommission vom 13. Dezember 2006 zur Erstellung eines Verzeichnisses von für die Behandlung von Equiden wesentlichen Stoffen gemäß der Richtlinie 2001/82/EG des Europäischen Parlaments und des Rates zur Schaffung eines Gemeinschaftskodexes für Tierarzneimittel (ABl. L 367 vom 22.12.2006, S. 33) aufgeführt sind, enthalten.</w:t>
      </w:r>
    </w:p>
    <w:p>
      <w:r>
        <w:t xml:space="preserve">(3) Das Bundesministerium für Ernährung und Landwirtschaft wird ermächtigt, im Einvernehmen mit dem Bundesministerium durch Rechtsverordnung mit Zustimmung des Bundesrates</w:t>
      </w:r>
    </w:p>
    <w:p>
      <w:pPr>
        <w:ind w:left="420"/>
      </w:pPr>
      <w:r>
        <w:t xml:space="preserve">1. Anforderungen an die Abgabe und die Verschreibung von Arzneimitteln zur Anwendung an Tieren, auch im Hinblick auf die Behandlung, festzulegen,</w:t>
      </w:r>
    </w:p>
    <w:p>
      <w:pPr>
        <w:ind w:left="420"/>
      </w:pPr>
      <w:r>
        <w:t xml:space="preserve">2. vorbehaltlich einer Rechtsverordnung nach Nummer 5 zu verbieten, bei der Verschreibung, der Abgabe oder der Anwendung von zur Anwendung bei Tieren bestimmten Arzneimitteln, die antimikrobiell wirksame Stoffe enthalten, von den in § 11 Absatz 4 Satz 1 Nummer 3 und 5 genannten Angaben der Gebrauchsinformation abzuweichen, soweit dies zur Verhütung einer unmittelbaren oder mittelbaren Gefährdung der Gesundheit von Mensch oder Tier durch die Anwendung dieser Arzneimittel erforderlich ist,</w:t>
      </w:r>
    </w:p>
    <w:p>
      <w:pPr>
        <w:ind w:left="420"/>
      </w:pPr>
      <w:r>
        <w:t xml:space="preserve">3. vorzuschreiben, dass der Tierarzt im Rahmen der Behandlung bestimmter Tiere in bestimmten Fällen eine Bestimmung der Empfindlichkeit der eine Erkrankung verursachenden Erreger gegenüber bestimmten antimikrobiell wirksamen Stoffen zu erstellen oder erstellen zu lassen hat,</w:t>
      </w:r>
    </w:p>
    <w:p>
      <w:pPr>
        <w:ind w:left="420"/>
      </w:pPr>
      <w:r>
        <w:t xml:space="preserve">4. vorzuschreiben, dass</w:t>
      </w:r>
    </w:p>
    <w:p>
      <w:pPr>
        <w:ind w:left="780"/>
      </w:pPr>
      <w:r>
        <w:t xml:space="preserve">a) Tierärzte über die Abgabe, Verschreibung und Anwendung, auch im Hinblick auf die Behandlung, von für den Verkehr außerhalb der Apotheken nicht freigegebenen Arzneimitteln Nachweise führen müssen,</w:t>
      </w:r>
    </w:p>
    <w:p>
      <w:pPr>
        <w:ind w:left="780"/>
      </w:pPr>
      <w:r>
        <w:t xml:space="preserve">b) bestimmte Arzneimittel nur durch den Tierarzt selbst angewendet werden dürfen, wenn diese Arzneimittel</w:t>
      </w:r>
    </w:p>
    <w:p>
      <w:pPr>
        <w:ind w:left="1140"/>
      </w:pPr>
      <w:r>
        <w:t xml:space="preserve">aa) die Gesundheit von Mensch oder Tier auch bei bestimmungsgemäßem Gebrauch unmittelbar oder mittelbar gefährden können, sofern sie nicht fachgerecht angewendet werden,</w:t>
      </w:r>
    </w:p>
    <w:p>
      <w:pPr>
        <w:ind w:left="1140"/>
      </w:pPr>
      <w:r>
        <w:t xml:space="preserve">bb) wiederholt in erheblichem Umfang nicht bestimmungsgemäß gebraucht werden und dadurch die Gesundheit von Mensch oder Tier unmittelbar oder mittelbar gefährdet werden kann,</w:t>
      </w:r>
    </w:p>
    <w:p>
      <w:pPr>
        <w:ind w:left="420"/>
      </w:pPr>
      <w:r>
        <w:t xml:space="preserve">5. vorzuschreiben, dass der Tierarzt abweichend von Absatz 2 bestimmte Arzneimittel, die bestimmte antimikrobiell wirksame Stoffe enthalten, nur</w:t>
      </w:r>
    </w:p>
    <w:p>
      <w:pPr>
        <w:ind w:left="780"/>
      </w:pPr>
      <w:r>
        <w:t xml:space="preserve">a) für die bei der Zulassung vorgesehenen Tierarten oder Anwendungsgebiete abgeben oder verschreiben oder</w:t>
      </w:r>
    </w:p>
    <w:p>
      <w:pPr>
        <w:ind w:left="780"/>
      </w:pPr>
      <w:r>
        <w:t xml:space="preserve">b) bei den bei der Zulassung vorgesehenen Tierarten oder in den dort vorgesehenen Anwendungsgebieten anwenden</w:t>
      </w:r>
    </w:p>
    <w:p>
      <w:pPr>
        <w:ind w:left="420"/>
      </w:pPr>
      <w:r>
        <w:t xml:space="preserve">darf, soweit dies erforderlich ist, um die Wirksamkeit der antimikrobiell wirksamen Stoffe für die Behandlung von Mensch und Tier zu erhalten.</w:t>
      </w:r>
    </w:p>
    <w:p>
      <w:r>
        <w:t xml:space="preserve">In Rechtsverordnungen nach Satz 1 können ferner</w:t>
      </w:r>
    </w:p>
    <w:p>
      <w:pPr>
        <w:ind w:left="420"/>
      </w:pPr>
      <w:r>
        <w:t xml:space="preserve">1. im Fall des Satzes 1 Nummer 3 Anforderungen an die Probenahme, die zu nehmenden Proben, das Verfahren der Untersuchung sowie an die Nachweisführung festgelegt werden,</w:t>
      </w:r>
    </w:p>
    <w:p>
      <w:pPr>
        <w:ind w:left="420"/>
      </w:pPr>
      <w:r>
        <w:t xml:space="preserve">2. im Fall des Satzes 1 Nummer 4 Buchstabe a</w:t>
      </w:r>
    </w:p>
    <w:p>
      <w:pPr>
        <w:ind w:left="780"/>
      </w:pPr>
      <w:r>
        <w:t xml:space="preserve">a) Art, Form und Inhalt der Nachweise sowie die Dauer der Aufbewahrung geregelt werden,</w:t>
      </w:r>
    </w:p>
    <w:p>
      <w:pPr>
        <w:ind w:left="780"/>
      </w:pPr>
      <w:r>
        <w:t xml:space="preserve">b) vorgeschrieben werden, dass Nachweise auf Anordnung der zuständigen Behörde nach deren Vorgaben vom Tierarzt zusammengefasst und ihr zur Verfügung gestellt werden, soweit dies zur Sicherung einer ausreichenden Überwachung der Anwendung von Arzneimitteln bei Tieren, die der Gewinnung von Lebensmitteln dienen, erforderlich ist.</w:t>
      </w:r>
    </w:p>
    <w:p>
      <w:r>
        <w:t xml:space="preserve">In Rechtsverordnungen nach Satz 1 Nummer 2, 3 und 5 ist Vorsorge dafür zu treffen, dass die Tiere jederzeit die notwendige arzneiliche Versorgung erhalten. Die Nachweispflicht kann auf bestimmte Arzneimittel, Anwendungsbereiche oder Darreichungsformen beschränkt werden.</w:t>
      </w:r>
    </w:p>
    <w:p>
      <w:r>
        <w:t xml:space="preserve">(4) Der Tierarzt darf durch Rechtsverordnung nach Absatz 3 Satz 1 Nummer 4 Buchstabe b bestimmte Arzneimittel dem Tierhalter weder verschreiben noch an diesen abgeben.</w:t>
      </w:r>
    </w:p>
    <w:p>
      <w:r>
        <w:t xml:space="preserve">(5) Das Bundesministerium für Ernährung und Landwirtschaft wird ermächtigt, im Einvernehmen mit dem Bundesministerium durch Rechtsverordnung mit Zustimmung des Bundesrates eine Tierarzneimittelanwendungskommission zu errichten. Die Tierarzneimittelanwendungskommission beschreibt in Leitlinien den Stand der veterinärmedizinischen Wissenschaft, insbesondere für die Anwendung von Arzneimitteln, die antimikrobiell wirksame Stoffe enthalten. In der Rechtsverordnung ist das Nähere über die Zusammensetzung, die Berufung der Mitglieder und das Verfahren der Tierarzneimittelanwendungskommission zu bestimmen. Ferner können der Tierarzneimittelanwendungskommission durch Rechtsverordnung weitere Aufgaben übertragen werden.</w:t>
      </w:r>
    </w:p>
    <w:p>
      <w:r>
        <w:t xml:space="preserve">(6) Es wird vermutet, dass eine Rechtfertigung nach dem Stand der veterinärmedizinischen Wissenschaft im Sinne des Absatzes 1 Satz 1 Nr. 4 oder des § 56 Abs. 5 Satz 1 Nr. 3 gegeben ist, sofern die Leitlinien der Tierarzneimittelanwendungskommission nach Absatz 5 Satz 2 beachtet worden sind.</w:t>
      </w:r>
    </w:p>
    <w:p>
      <w:r>
        <w:rPr>
          <w:color w:val="555555"/>
          <w:sz w:val="17"/>
        </w:rPr>
        <w:t xml:space="preserve">Zitiervorschlag: § 56a AMG 1976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