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AMG 1976 — Fütterungsarzneimittel</w:t>
      </w:r>
    </w:p>
    <w:p>
      <w:r>
        <w:rPr>
          <w:color w:val="555555"/>
          <w:sz w:val="18"/>
        </w:rPr>
        <w:t xml:space="preserve">Arzneimittelgesetz</w:t>
      </w:r>
    </w:p>
    <w:p>
      <w:r>
        <w:rPr>
          <w:color w:val="555555"/>
          <w:sz w:val="18"/>
        </w:rPr>
        <w:t xml:space="preserve">Außer Kraft: § 56 ist seit 28.01.2022 nicht mehr im AMG 1976 enthalten. Angezeigt wird die letzte bekannte Fassung, Stand 10.06.2019.</w:t>
      </w:r>
    </w:p>
    <w:p>
      <w:r>
        <w:t xml:space="preserve">(1) Fütterungsarzneimittel dürfen abweichend von § 47 Abs. 1, jedoch nur auf Verschreibung eines Tierarztes, vom Hersteller nur unmittelbar an Tierhalter abgegeben werden; dies gilt auch, wenn die Fütterungsarzneimittel in einem anderen Mitgliedstaat der Europäischen Union oder in einem anderen Vertragsstaat des Abkommens über den Europäischen Wirtschaftsraum unter Verwendung im Geltungsbereich dieses Gesetzes zugelassener Arzneimittel-Vormischungen oder solcher Arzneimittel-Vormischungen, die die gleiche qualitative und eine vergleichbare quantitative Zusammensetzung haben wie im Geltungsbereich dieses Gesetzes zugelassene Arzneimittel-Vormischungen, hergestellt werden, die sonstigen im Geltungsbereich dieses Gesetzes geltenden arzneimittelrechtlichen Vorschriften beachtet werden und den Fütterungsarzneimitteln eine Begleitbescheinigung nach dem vom Bundesministerium für Ernährung und Landwirtschaft bekannt gemachten Muster beigegeben ist. Im Falle des Satzes 1 zweiter Halbsatz hat der verschreibende Tierarzt der nach § 64 Abs. 1 für die Überwachung der Einhaltung der arzneimittelrechtlichen Vorschriften durch den Tierhalter zuständigen Behörde unverzüglich eine Kopie der Verschreibung zu übersenden. Die wiederholte Abgabe auf eine Verschreibung ist nicht zulässig. Das Bundesministerium für Ernährung und Landwirtschaft wird ermächtigt, im Einvernehmen mit dem Bundesministerium und dem Bundesministerium für Wirtschaft und Energie durch Rechtsverordnung Vorschriften über Form und Inhalt der Verschreibung zu erlassen.</w:t>
      </w:r>
    </w:p>
    <w:p>
      <w:r>
        <w:t xml:space="preserve">(2) Zur Herstellung eines Fütterungsarzneimittels darf nur eine nach § 25 Abs. 1 zugelassene oder auf Grund des § 36 Abs. 1 von der Pflicht zur Zulassung freigestellte Arzneimittel-Vormischung verwendet werden. Auf Verschreibung darf abweichend von Satz 1 ein Fütterungsarzneimittel aus höchstens drei Arzneimittel-Vormischungen, die jeweils zur Anwendung bei der zu behandelnden Tierart zugelassen sind, hergestellt werden, sofern</w:t>
      </w:r>
    </w:p>
    <w:p>
      <w:pPr>
        <w:ind w:left="420"/>
      </w:pPr>
      <w:r>
        <w:t xml:space="preserve">1. für das betreffende Anwendungsgebiet eine zugelassene Arzneimittel-Vormischung nicht zur Verfügung steht,</w:t>
      </w:r>
    </w:p>
    <w:p>
      <w:pPr>
        <w:ind w:left="420"/>
      </w:pPr>
      <w:r>
        <w:t xml:space="preserve">2. im Einzelfall im Fütterungsarzneimittel nicht mehr als zwei Arzneimittel-Vormischungen mit jeweils einem antimikrobiell wirksamen Stoff enthalten sind oder höchstens eine Arzneimittel-Vormischung mit mehreren solcher Stoffe enthalten ist und</w:t>
      </w:r>
    </w:p>
    <w:p>
      <w:pPr>
        <w:ind w:left="420"/>
      </w:pPr>
      <w:r>
        <w:t xml:space="preserve">3. eine homogene und stabile Verteilung der wirksamen Bestandteile in dem Fütterungsarzneimittel gewährleistet ist.</w:t>
      </w:r>
    </w:p>
    <w:p>
      <w:r>
        <w:t xml:space="preserve">(3) Werden Fütterungsarzneimittel hergestellt, so muss das verwendete Mischfuttermittel vor und nach der Vermischung den futtermittelrechtlichen Vorschriften entsprechen und es darf kein Antibiotikum oder Kokzidiostatikum als Futtermittelzusatzstoff enthalten.</w:t>
      </w:r>
    </w:p>
    <w:p>
      <w:r>
        <w:t xml:space="preserve">(4) Der Hersteller des Fütterungsarzneimittels hat sicherzustellen, dass die Arzneimitteltagesdosis in einer Menge in dem Mischfuttermittel enthalten ist, die die tägliche Futterration der behandelten Tiere, bei Wiederkäuern den täglichen Bedarf an Ergänzungsfuttermitteln, ausgenommen Mineralfutter, mindestens zur Hälfte deckt. Der Hersteller des Fütterungsarzneimittels hat die verfütterungsfertige Mischung vor der Abgabe so zu kennzeichnen, dass auf dem Etikett das Wort „Fütterungsarzneimittel“ und die Angabe darüber, zu welchem Prozentsatz sie den Futterbedarf nach Satz 1 zu decken bestimmt ist, deutlich sichtbar sind.</w:t>
      </w:r>
    </w:p>
    <w:p>
      <w:r>
        <w:t xml:space="preserve">(5) Der Tierarzt darf Fütterungsarzneimittel nur verschreiben,</w:t>
      </w:r>
    </w:p>
    <w:p>
      <w:pPr>
        <w:ind w:left="420"/>
      </w:pPr>
      <w:r>
        <w:t xml:space="preserve">1. wenn sie zur Anwendung an den von ihm behandelten Tieren bestimmt sind,</w:t>
      </w:r>
    </w:p>
    <w:p>
      <w:pPr>
        <w:ind w:left="420"/>
      </w:pPr>
      <w:r>
        <w:t xml:space="preserve">2. wenn sie für die in den Packungsbeilagen der Arzneimittel-Vormischungen bezeichneten Tierarten und Anwendungsgebiete bestimmt sind,</w:t>
      </w:r>
    </w:p>
    <w:p>
      <w:pPr>
        <w:ind w:left="420"/>
      </w:pPr>
      <w:r>
        <w:t xml:space="preserve">3. wenn ihre Anwendung nach Anwendungsgebiet und Menge nach dem Stand der veterinärmedizinischen Wissenschaft gerechtfertigt ist, um das Behandlungsziel zu erreichen, und</w:t>
      </w:r>
    </w:p>
    <w:p>
      <w:pPr>
        <w:ind w:left="420"/>
      </w:pPr>
      <w:r>
        <w:t xml:space="preserve">4. wenn die zur Anwendung bei Tieren, die der Gewinnung von Lebensmitteln dienen, verschriebene Menge von Fütterungsarzneimitteln, die</w:t>
      </w:r>
    </w:p>
    <w:p>
      <w:pPr>
        <w:ind w:left="780"/>
      </w:pPr>
      <w:r>
        <w:t xml:space="preserve">a) vorbehaltlich des Buchstaben b, verschreibungspflichtige Arzneimittel-Vormischungen enthalten, zur Anwendung innerhalb der auf die Abgabe folgenden 31 Tage bestimmt ist, oder</w:t>
      </w:r>
    </w:p>
    <w:p>
      <w:pPr>
        <w:ind w:left="780"/>
      </w:pPr>
      <w:r>
        <w:t xml:space="preserve">b) antimikrobiell wirksame Stoffe enthalten, zur Anwendung innerhalb der auf die Abgabe folgenden sieben Tage bestimmt ist,</w:t>
      </w:r>
    </w:p>
    <w:p>
      <w:pPr>
        <w:ind w:left="420"/>
      </w:pPr>
      <w:r>
        <w:t xml:space="preserve">sofern die Zulassungsbedingungen der Arzneimittel-Vormischung nicht eine längere Anwendungsdauer vorsehen.</w:t>
      </w:r>
    </w:p>
    <w:p>
      <w:r>
        <w:t xml:space="preserve">§ 56a Abs. 2 gilt für die Verschreibung von Fütterungsarzneimitteln entsprechend. Im Falle der Verschreibung von Fütterungsarzneimitteln nach Satz 1 Nr. 4 gilt zusätzlich § 56a Abs. 1 Satz 2 entsprechend.</w:t>
      </w:r>
    </w:p>
    <w:p>
      <w:r>
        <w:rPr>
          <w:color w:val="555555"/>
          <w:sz w:val="17"/>
        </w:rPr>
        <w:t xml:space="preserve">Zitiervorschlag: § 56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