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52a AMG 1976 — Großhandel mit Arzneimitteln</w:t>
      </w:r>
    </w:p>
    <w:p>
      <w:r>
        <w:rPr>
          <w:color w:val="555555"/>
          <w:sz w:val="18"/>
        </w:rPr>
        <w:t xml:space="preserve">Arzneimittelgesetz</w:t>
      </w:r>
    </w:p>
    <w:p>
      <w:r>
        <w:rPr>
          <w:color w:val="555555"/>
          <w:sz w:val="18"/>
        </w:rPr>
        <w:t xml:space="preserve">Stand: 28.01.2022 (konsolidierte Textfassung, kein amtliches Inkrafttretensdatum)</w:t>
      </w:r>
    </w:p>
    <w:p>
      <w:r>
        <w:t xml:space="preserve">(1) Wer Großhandel mit Arzneimitteln betreibt, bedarf einer Erlaubnis. Ausgenommen von dieser Erlaubnispflicht sind die in § 51 Absatz 1 Nummer 2 genannten und für den Verkehr außerhalb von Apotheken freigegebenen Fertigarzneimittel.</w:t>
      </w:r>
    </w:p>
    <w:p>
      <w:r>
        <w:t xml:space="preserve">(2) Mit dem Antrag hat der Antragsteller</w:t>
      </w:r>
    </w:p>
    <w:p>
      <w:pPr>
        <w:ind w:left="420"/>
      </w:pPr>
      <w:r>
        <w:t xml:space="preserve">1. die bestimmte Betriebsstätte sowie die Tätigkeiten und die Arzneimittel zu benennen, für die die Erlaubnis erteilt werden soll,</w:t>
      </w:r>
    </w:p>
    <w:p>
      <w:pPr>
        <w:ind w:left="420"/>
      </w:pPr>
      <w:r>
        <w:t xml:space="preserve">2. Nachweise darüber vorzulegen, dass er über geeignete und ausreichende Räumlichkeiten, Anlagen und Einrichtungen verfügt, um eine ordnungsgemäße Lagerung und einen ordnungsgemäßen Vertrieb und, soweit vorgesehen, ein ordnungsgemäßes Umfüllen, Abpacken und Kennzeichnen von Arzneimitteln zu gewährleisten,</w:t>
      </w:r>
    </w:p>
    <w:p>
      <w:pPr>
        <w:ind w:left="420"/>
      </w:pPr>
      <w:r>
        <w:t xml:space="preserve">3. eine verantwortliche Person zu benennen, die die zur Ausübung der Tätigkeit erforderliche Sachkenntnis besitzt, und</w:t>
      </w:r>
    </w:p>
    <w:p>
      <w:pPr>
        <w:ind w:left="420"/>
      </w:pPr>
      <w:r>
        <w:t xml:space="preserve">4. eine Erklärung beizufügen, in der er sich schriftlich verpflichtet, die für den ordnungsgemäßen Betrieb eines Großhandels geltenden Regelungen einzuhalten.</w:t>
      </w:r>
    </w:p>
    <w:p>
      <w:r>
        <w:t xml:space="preserve">(3) Die Entscheidung über die Erteilung der Erlaubnis trifft die zuständige Behörde des Landes, in dem die Betriebsstätte liegt oder liegen soll. Die zuständige Behörde hat eine Entscheidung über den Antrag auf Erteilung der Erlaubnis innerhalb einer Frist von drei Monaten zu treffen. Verlangt die zuständige Behörde vom Antragsteller weitere Angaben zu den Voraussetzungen nach Absatz 2, so wird die in Satz 2 genannte Frist so lange ausgesetzt, bis die erforderlichen ergänzenden Angaben der zuständigen Behörde vorliegen.</w:t>
      </w:r>
    </w:p>
    <w:p>
      <w:r>
        <w:t xml:space="preserve">(4) Die Erlaubnis darf nur versagt werden, wenn</w:t>
      </w:r>
    </w:p>
    <w:p>
      <w:pPr>
        <w:ind w:left="420"/>
      </w:pPr>
      <w:r>
        <w:t xml:space="preserve">1. die Voraussetzungen nach Absatz 2 nicht vorliegen,</w:t>
      </w:r>
    </w:p>
    <w:p>
      <w:pPr>
        <w:ind w:left="420"/>
      </w:pPr>
      <w:r>
        <w:t xml:space="preserve">2. Tatsachen die Annahme rechtfertigen, dass der Antragsteller oder die verantwortliche Person nach Absatz 2 Nr. 3 die zur Ausübung ihrer Tätigkeit erforderliche Zuverlässigkeit nicht besitzt oder</w:t>
      </w:r>
    </w:p>
    <w:p>
      <w:pPr>
        <w:ind w:left="420"/>
      </w:pPr>
      <w:r>
        <w:t xml:space="preserve">3. der Großhändler nicht in der Lage ist, zu gewährleisten, dass die für den ordnungsgemäßen Betrieb geltenden Regelungen eingehalten werden.</w:t>
      </w:r>
    </w:p>
    <w:p>
      <w:r>
        <w:t xml:space="preserve">(5) Die Erlaubnis ist zurückzunehmen, wenn nachträglich bekannt wird, dass einer der Versagungsgründe nach Absatz 4 bei der Erteilung vorgelegen hat. Die Erlaubnis ist zu widerrufen, wenn die Voraussetzungen für die Erteilung der Erlaubnis nicht mehr vorliegen; anstelle des Widerrufs kann auch das Ruhen der Erlaubnis angeordnet werden.</w:t>
      </w:r>
    </w:p>
    <w:p>
      <w:r>
        <w:t xml:space="preserve">(6) Eine Erlaubnis nach § 13 oder § 72 umfasst auch die Erlaubnis zum Großhandel mit den Arzneimitteln, auf die sich die Erlaubnis nach § 13 oder § 72 erstreckt.</w:t>
      </w:r>
    </w:p>
    <w:p>
      <w:r>
        <w:t xml:space="preserve">(7) Die Absätze 1 bis 5 gelten nicht für die Tätigkeit der Apotheken im Rahmen des üblichen Apothekenbetriebes.</w:t>
      </w:r>
    </w:p>
    <w:p>
      <w:r>
        <w:t xml:space="preserve">(8) Der Inhaber der Erlaubnis hat jede Änderung der in Absatz 2 genannten Angaben sowie jede wesentliche Änderung der Großhandelstätigkeit unter Vorlage der Nachweise der zuständigen Behörde vorher anzuzeigen. Bei einem unvorhergesehenen Wechsel der verantwortlichen Person nach Absatz 2 Nr. 3 hat die Anzeige unverzüglich zu erfolgen.</w:t>
      </w:r>
    </w:p>
    <w:p>
      <w:r>
        <w:rPr>
          <w:color w:val="555555"/>
          <w:sz w:val="17"/>
        </w:rPr>
        <w:t xml:space="preserve">Zitiervorschlag: § 52a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