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AMG 1976 — Einzelhandel mit freiverkäuflichen Arzneimitteln</w:t>
      </w:r>
    </w:p>
    <w:p>
      <w:r>
        <w:rPr>
          <w:color w:val="555555"/>
          <w:sz w:val="18"/>
        </w:rPr>
        <w:t xml:space="preserve">Arzneimittelgesetz</w:t>
      </w:r>
    </w:p>
    <w:p>
      <w:r>
        <w:rPr>
          <w:color w:val="555555"/>
          <w:sz w:val="18"/>
        </w:rPr>
        <w:t xml:space="preserve">Stand: 28.01.2022 (konsolidierte Textfassung, kein amtliches Inkrafttretensdatum)</w:t>
      </w:r>
    </w:p>
    <w:p>
      <w:r>
        <w:t xml:space="preserve">(1) Einzelhandel außerhalb von Apotheken mit Arzneimitteln, die zum Verkehr außerhalb der Apotheken freigegeben sind, darf nur betrieben werden, wenn der Unternehmer, eine zur Vertretung des Unternehmens gesetzlich berufene oder eine von dem Unternehmer mit der Leitung des Unternehmens oder mit dem Verkauf beauftragte Person die erforderliche Sachkenntnis besitzt. Bei Unternehmen mit mehreren Betriebsstellen muss für jede Betriebsstelle eine Person vorhanden sein, die die erforderliche Sachkenntnis besitzt.</w:t>
      </w:r>
    </w:p>
    <w:p>
      <w:r>
        <w:t xml:space="preserve">(2) Die erforderliche Sachkenntnis besitzt, wer Kenntnisse und Fertigkeiten über das ordnungsgemäße Abfüllen, Abpacken, Kennzeichnen, Lagern und Inverkehrbringen von Arzneimitteln, die zum Verkehr außerhalb der Apotheken freigegeben sind, sowie Kenntnisse über die für diese Arzneimittel geltenden Vorschriften nachweist. Das Bundesministerium wird ermächtigt, im Einvernehmen mit dem Bundesministerium für Wirtschaft und Energie und dem Bundesministerium für Bildung und Forschung durch Rechtsverordnung mit Zustimmung des Bundesrates Vorschriften darüber zu erlassen, wie der Nachweis der erforderlichen Sachkenntnis zu erbringen ist, um einen ordnungsgemäßen Verkehr mit Arzneimitteln zu gewährleisten. Es kann dabei Prüfungszeugnisse über eine abgeleistete berufliche Aus- oder Fortbildung als Nachweis anerkennen. Es kann ferner bestimmen, dass die Sachkenntnis durch eine Prüfung vor der zuständigen Behörde oder einer von ihr bestimmten Stelle nachgewiesen wird und das Nähere über die Prüfungsanforderungen und das Prüfungsverfahren regeln.</w:t>
      </w:r>
    </w:p>
    <w:p>
      <w:r>
        <w:t xml:space="preserve">(3) Einer Sachkenntnis nach Absatz 1 bedarf nicht, wer Fertigarzneimittel im Einzelhandel in den Verkehr bringt, die</w:t>
      </w:r>
    </w:p>
    <w:p>
      <w:pPr>
        <w:ind w:left="420"/>
      </w:pPr>
      <w:r>
        <w:t xml:space="preserve">1. im Reisegewerbe abgegeben werden dürfen,</w:t>
      </w:r>
    </w:p>
    <w:p>
      <w:pPr>
        <w:ind w:left="420"/>
      </w:pPr>
      <w:r>
        <w:t xml:space="preserve">2. zur Verhütung der Schwangerschaft oder von Geschlechtskrankheiten bestimmt sind,</w:t>
      </w:r>
    </w:p>
    <w:p>
      <w:pPr>
        <w:ind w:left="420"/>
      </w:pPr>
      <w:r>
        <w:t xml:space="preserve">3. (weggefallen)</w:t>
      </w:r>
    </w:p>
    <w:p>
      <w:pPr>
        <w:ind w:left="420"/>
      </w:pPr>
      <w:r>
        <w:t xml:space="preserve">4. ausschließlich zum äußeren Gebrauch bestimmte Desinfektionsmittel oder</w:t>
      </w:r>
    </w:p>
    <w:p>
      <w:pPr>
        <w:ind w:left="420"/>
      </w:pPr>
      <w:r>
        <w:t xml:space="preserve">5. Sauerstoff sind.</w:t>
      </w:r>
    </w:p>
    <w:p>
      <w:r>
        <w:rPr>
          <w:color w:val="555555"/>
          <w:sz w:val="17"/>
        </w:rPr>
        <w:t xml:space="preserve">Zitiervorschlag: § 50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