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AMG 1976 — Abgabe von bestimmten verschreibungspflichtigen Arzneimitteln durch Apotheker zur Anschlussversorgung</w:t>
      </w:r>
    </w:p>
    <w:p>
      <w:r>
        <w:rPr>
          <w:color w:val="555555"/>
          <w:sz w:val="18"/>
        </w:rPr>
        <w:t xml:space="preserve">Arzneimittelgesetz</w:t>
      </w:r>
    </w:p>
    <w:p>
      <w:r>
        <w:rPr>
          <w:color w:val="555555"/>
          <w:sz w:val="18"/>
        </w:rPr>
        <w:t xml:space="preserve">Stand: 04.07.2026 (konsolidierte Textfassung, kein amtliches Inkrafttretensdatum)</w:t>
      </w:r>
    </w:p>
    <w:p>
      <w:r>
        <w:t xml:space="preserve">(1) Abweichend von § 48 Absatz 1 Satz 1 dürfen die in § 48 Absatz 1 Satz 1 genannten Arzneimittel ohne Vorliegen einer ärztlichen oder zahnärztlichen Verschreibung durch einen Apotheker für eine öffentliche Apotheke, zu deren Personal er gehört, zur Anschlussversorgung an einen Verbraucher einmalig in der kleinsten in der Apotheke vorrätigen Packungsgröße abgegeben werden, sofern</w:t>
      </w:r>
    </w:p>
    <w:p>
      <w:pPr>
        <w:ind w:left="420"/>
      </w:pPr>
      <w:r>
        <w:t xml:space="preserve">1. dem Verbraucher das Arzneimittel bereits über mindestens drei Quartale hinweg verschrieben wurde und er dies nachweist oder der Apotheker anderweitig Kenntnis davon hat und</w:t>
      </w:r>
    </w:p>
    <w:p>
      <w:pPr>
        <w:ind w:left="420"/>
      </w:pPr>
      <w:r>
        <w:t xml:space="preserve">2. die Fortführung der Anwendung des Arzneimittels keinen Aufschub erlaubt.</w:t>
      </w:r>
    </w:p>
    <w:p>
      <w:r>
        <w:t xml:space="preserve">Als Nachweis, dass das betreffende Arzneimittel bereits über mindestens drei Quartale hinweg verschrieben wurde, gelten insbesondere entsprechende in der elektronischen Patientenakte gespeicherte Daten. Eine erneute einmalige Abgabe desselben Arzneimittels darf nach Satz 1 immer dann erfolgen, wenn zwischenzeitlich eine weitere ärztliche oder zahnärztliche Verschreibung vorgelegen hat.</w:t>
      </w:r>
    </w:p>
    <w:p>
      <w:r>
        <w:t xml:space="preserve">(2) Absatz 1 gilt nicht für</w:t>
      </w:r>
    </w:p>
    <w:p>
      <w:pPr>
        <w:ind w:left="420"/>
      </w:pPr>
      <w:r>
        <w:t xml:space="preserve">1. Arzneimittel, die die Wirkstoffe Lenalidomid, Pomalidomid oder Thalidomid enthalten,</w:t>
      </w:r>
    </w:p>
    <w:p>
      <w:pPr>
        <w:ind w:left="420"/>
      </w:pPr>
      <w:r>
        <w:t xml:space="preserve">2. oral anzuwendende Arzneimittel für Frauen im gebärfähigen Alter, die die Wirkstoffe Acitretin, Alitretinoin oder Isotretinoin enthalten,</w:t>
      </w:r>
    </w:p>
    <w:p>
      <w:pPr>
        <w:ind w:left="420"/>
      </w:pPr>
      <w:r>
        <w:t xml:space="preserve">3. Arzneimittel mit hohem Missbrauchs- und Abhängigkeitspotenzial, wie opioidhaltige Arzneimittel, Hypnotika, Sedativa, Stimulanzien oder Anxiolytika, und</w:t>
      </w:r>
    </w:p>
    <w:p>
      <w:pPr>
        <w:ind w:left="420"/>
      </w:pPr>
      <w:r>
        <w:t xml:space="preserve">4. Arzneimittel, bei denen sich aus der Fachinformation im Sinne des § 11a Absatz 1 Satz 1 ergibt, dass vor einer weiteren Verschreibung oder während der Therapie eine ärztliche oder zahnärztliche Diagnostik oder eine ärztliche oder zahnärztliche Untersuchung erforderlich ist.</w:t>
      </w:r>
    </w:p>
    <w:p>
      <w:r>
        <w:rPr>
          <w:color w:val="555555"/>
          <w:sz w:val="17"/>
        </w:rPr>
        <w:t xml:space="preserve">Zitiervorschlag: § 48a AMG 1976</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