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47b AMG 1976 — Sondervertriebsweg Diamorphin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Pharmazeutische Unternehmer dürfen ein diamorphinhaltiges Fertigarzneimittel, das zur substitutionsgestützten Behandlung zugelassen ist, nur an anerkannte Einrichtungen im Sinne des § 13 Absatz 3 Satz 2 Nummer 2a des Betäubungsmittelgesetzes und nur auf Verschreibung eines dort behandelnden Arztes abgeben. Andere Personen dürfen die in Satz 1 genannten Arzneimittel nicht in Verkehr bringen.</w:t>
      </w:r>
    </w:p>
    <w:p>
      <w:r>
        <w:t xml:space="preserve">(2) Die §§ 43 und 47 finden auf die in Absatz 1 Satz 1 genannten Arzneimittel keine Anwendung.</w:t>
      </w:r>
    </w:p>
    <w:p>
      <w:r>
        <w:rPr>
          <w:color w:val="555555"/>
          <w:sz w:val="17"/>
        </w:rPr>
        <w:t xml:space="preserve">Zitiervorschlag: § 47b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