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47a AMG 1976 — Sondervertriebsweg, Nachweispflichten</w:t>
      </w:r>
    </w:p>
    <w:p>
      <w:r>
        <w:rPr>
          <w:color w:val="555555"/>
          <w:sz w:val="18"/>
        </w:rPr>
        <w:t xml:space="preserve">Arzneimittelgesetz</w:t>
      </w:r>
    </w:p>
    <w:p>
      <w:r>
        <w:rPr>
          <w:color w:val="555555"/>
          <w:sz w:val="18"/>
        </w:rPr>
        <w:t xml:space="preserve">Stand: 10.06.2019 (konsolidierte Textfassung, kein amtliches Inkrafttretensdatum)</w:t>
      </w:r>
    </w:p>
    <w:p>
      <w:r>
        <w:t xml:space="preserve">(1) Pharmazeutische Unternehmer dürfen ein Arzneimittel, das zur Vornahme eines Schwangerschaftsabbruchs zugelassen ist, nur an Einrichtungen im Sinne des § 13 des Schwangerschaftskonfliktgesetzes vom 27. Juli 1992 (BGBl. I S. 1398), geändert durch Artikel 1 des Gesetzes vom 21. August 1995 (BGBl. I S. 1050), und nur auf Verschreibung eines dort behandelnden Arztes abgeben. Andere Personen dürfen die in Satz 1 genannten Arzneimittel nicht in den Verkehr bringen.</w:t>
      </w:r>
    </w:p>
    <w:p>
      <w:r>
        <w:t xml:space="preserve">(2) Pharmazeutische Unternehmer haben die zur Abgabe bestimmten Packungen der in Absatz 1 Satz 1 genannten Arzneimittel fortlaufend zu nummerieren; ohne diese Kennzeichnung darf das Arzneimittel nicht abgegeben werden. Über die Abgabe haben pharmazeutische Unternehmer, über den Erhalt und die Anwendung haben die Einrichtung und der behandelnde Arzt Nachweise zu führen und diese Nachweise auf Verlangen der zuständigen Behörde zur Einsichtnahme vorzulegen.</w:t>
      </w:r>
    </w:p>
    <w:p>
      <w:r>
        <w:t xml:space="preserve">(2a) Pharmazeutische Unternehmer sowie die Einrichtung haben die in Absatz 1 Satz 1 genannten Arzneimittel, die sich in ihrem Besitz befinden, gesondert aufzubewahren und gegen unbefugte Entnahme zu sichern.</w:t>
      </w:r>
    </w:p>
    <w:p>
      <w:r>
        <w:t xml:space="preserve">(3) Die §§ 43 und 47 finden auf die in Absatz 1 Satz 1 genannten Arzneimittel keine Anwendung.</w:t>
      </w:r>
    </w:p>
    <w:p>
      <w:r>
        <w:rPr>
          <w:color w:val="555555"/>
          <w:sz w:val="17"/>
        </w:rPr>
        <w:t xml:space="preserve">Zitiervorschlag: § 47a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