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41a AMG 1976 — Registrierungsverfahren für Ethik-Kommissionen</w:t>
      </w:r>
    </w:p>
    <w:p>
      <w:r>
        <w:rPr>
          <w:color w:val="555555"/>
          <w:sz w:val="18"/>
        </w:rPr>
        <w:t xml:space="preserve">Arzneimittelgesetz</w:t>
      </w:r>
    </w:p>
    <w:p>
      <w:r>
        <w:rPr>
          <w:color w:val="555555"/>
          <w:sz w:val="18"/>
        </w:rPr>
        <w:t xml:space="preserve">Stand: 01.07.2025 (konsolidierte Textfassung, kein amtliches Inkrafttretensdatum)</w:t>
      </w:r>
    </w:p>
    <w:p>
      <w:r>
        <w:t xml:space="preserve">(1) An dem Verfahren zur Bewertung eines Antrags auf Genehmigung einer klinischen Prüfung nach der Verordnung (EU) Nr. 536/2014 dürfen nur die Spezialisierte Ethik-Kommission für besondere Verfahren und öffentlich-rechtliche Ethik-Kommissionen der Länder, die nach Landesrecht für die Prüfung und Bewertung klinischer Prüfungen zuständig sind und nach den Absätzen 2 bis 5 registriert sind, teilnehmen.</w:t>
      </w:r>
    </w:p>
    <w:p>
      <w:r>
        <w:t xml:space="preserve">(2) Der Antrag auf Registrierung ist vom jeweiligen Träger der öffentlich-rechtlichen Ethik-Kommissionen der Länder bei dem Bundesinstitut für Arzneimittel und Medizinprodukte zu stellen.</w:t>
      </w:r>
    </w:p>
    <w:p>
      <w:r>
        <w:t xml:space="preserve">(3) Im Einvernehmen mit dem Paul-Ehrlich-Institut genehmigt das Bundesinstitut für Arzneimittel und Medizinprodukte den Antrag auf Registrierung, wenn folgende Voraussetzungen durch geeignete Unterlagen nachgewiesen werden:</w:t>
      </w:r>
    </w:p>
    <w:p>
      <w:pPr>
        <w:ind w:left="420"/>
      </w:pPr>
      <w:r>
        <w:t xml:space="preserve">1. die erforderliche aktuelle wissenschaftliche Expertise der Mitglieder sowie der externen Sachverständigen,</w:t>
      </w:r>
    </w:p>
    <w:p>
      <w:pPr>
        <w:ind w:left="420"/>
      </w:pPr>
      <w:r>
        <w:t xml:space="preserve">2. die interdisziplinäre Zusammensetzung der Ethik-Kommission unter Beteiligung von je mindestens einem Juristen, einer Person mit wissenschaftlicher oder beruflicher Erfahrung auf dem Gebiet der Ethik in der Medizin, einer Person mit Erfahrung auf dem Gebiet der Versuchsplanung und Statistik, drei Ärzten, die über Erfahrungen in der klinischen Medizin verfügen, davon ein Facharzt für klinische Pharmakologie oder für Pharmakologie und Toxikologie, sowie einem Laien,</w:t>
      </w:r>
    </w:p>
    <w:p>
      <w:pPr>
        <w:ind w:left="420"/>
      </w:pPr>
      <w:r>
        <w:t xml:space="preserve">3. der Ethik-Kommission gehören weibliche und männliche Mitglieder an und bei der Auswahl der Mitglieder und externen Sachverständigen werden Frauen und Männer mit dem Ziel der gleichberechtigten Teilhabe gleichermaßen berücksichtigt,</w:t>
      </w:r>
    </w:p>
    <w:p>
      <w:pPr>
        <w:ind w:left="420"/>
      </w:pPr>
      <w:r>
        <w:t xml:space="preserve">4. eine Geschäftsordnung, die insbesondere verpflichtende Regelungen zur Arbeitsweise der Ethik-Kommission trifft; dazu gehören insbesondere Regelungen zur Geschäftsführung, zum Vorsitz, zur Vorbereitung von Beschlüssen, zur Beschlussfassung sowie zur Ehrenamtlichkeit und Verschwiegenheitspflicht der Mitglieder und externen Sachverständigen,</w:t>
      </w:r>
    </w:p>
    <w:p>
      <w:pPr>
        <w:ind w:left="420"/>
      </w:pPr>
      <w:r>
        <w:t xml:space="preserve">5. eine Geschäftsstelle mit dem für die Organisation der Aufgaben der Ethik-Kommission erforderlichen qualifizierten Personal,</w:t>
      </w:r>
    </w:p>
    <w:p>
      <w:pPr>
        <w:ind w:left="420"/>
      </w:pPr>
      <w:r>
        <w:t xml:space="preserve">6. eine sachliche Ausstattung, die es ermöglicht, kurzfristig Abstimmungsverfahren durchzuführen und fristgerecht Stellungnahmen und Bewertungsberichte zu erstellen,</w:t>
      </w:r>
    </w:p>
    <w:p>
      <w:pPr>
        <w:ind w:left="420"/>
      </w:pPr>
      <w:r>
        <w:t xml:space="preserve">7. die Ethik-Kommission holt zu jedem Antrag Unabhängigkeitserklärungen der beteiligten Mitglieder und externen Sachverständigen ein, die beinhalten, dass diese keine finanziellen oder persönlichen Interessen, die Auswirkungen auf ihre Unparteilichkeit haben könnten, haben.</w:t>
      </w:r>
    </w:p>
    <w:p>
      <w:r>
        <w:t xml:space="preserve">(4) Registrierte Ethik-Kommissionen teilen dem Bundesinstitut für Arzneimittel und Medizinprodukte Änderungen, die die Voraussetzungen der Registrierung betreffen, unverzüglich mit.</w:t>
      </w:r>
    </w:p>
    <w:p>
      <w:r>
        <w:t xml:space="preserve">(5) Das Bundesinstitut für Arzneimittel und Medizinprodukte kann im Einvernehmen mit dem Paul-Ehrlich-Institut das Ruhen der Registrierung anordnen oder die Registrierung aufheben, wenn bekannt wird, dass die Voraussetzungen zur Registrierung nicht oder nicht mehr vorliegen oder wenn ein Verstoß gegen die nach § 41b Absatz 1 festgelegte Verfahrensordnung oder gegen die Richtlinien zur Bewertung klinischer Prüfungen durch Ethik-Kommissionen oder gegen § 36 des Strahlenschutzgesetzes, § 36a des Strahlenschutzgesetzes oder § 36c des Strahlenschutzgesetzes vorliegt.</w:t>
      </w:r>
    </w:p>
    <w:p>
      <w:r>
        <w:t xml:space="preserve">(6) Das Bundesinstitut für Arzneimittel und Medizinprodukte veröffentlicht eine Liste der registrierten Ethik-Kommissionen im Bundesanzeiger. Personenbezogene Daten dürfen nur mit Einwilligung der jeweiligen Person veröffentlicht werden. Die Liste ist regelmäßig zu aktualisieren.</w:t>
      </w:r>
    </w:p>
    <w:p>
      <w:r>
        <w:rPr>
          <w:color w:val="555555"/>
          <w:sz w:val="17"/>
        </w:rPr>
        <w:t xml:space="preserve">Zitiervorschlag: § 41a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https://recht.nulegal.eu/gesetze/AMG%201976/41a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