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40d AMG 1976 — Besondere Pflichten des Prüfers, des Sponsors und der zuständigen Bundesoberbehörde</w:t>
      </w:r>
    </w:p>
    <w:p>
      <w:r>
        <w:rPr>
          <w:color w:val="555555"/>
          <w:sz w:val="18"/>
        </w:rPr>
        <w:t xml:space="preserve">Arzneimittelgesetz</w:t>
      </w:r>
    </w:p>
    <w:p>
      <w:r>
        <w:rPr>
          <w:color w:val="555555"/>
          <w:sz w:val="18"/>
        </w:rPr>
        <w:t xml:space="preserve">Stand: 27.01.2022 (konsolidierte Textfassung, kein amtliches Inkrafttretensdatum)</w:t>
      </w:r>
    </w:p>
    <w:p>
      <w:r>
        <w:t xml:space="preserve">Bei klinischen Prüfungen mit Arzneimitteln, die aus einem gentechnisch veränderten Organismus oder einer Kombination von gentechnisch veränderten Organismen bestehen oder die solche Organismen enthalten,</w:t>
      </w:r>
    </w:p>
    <w:p>
      <w:pPr>
        <w:ind w:left="420"/>
      </w:pPr>
      <w:r>
        <w:t xml:space="preserve">1. treffen der Sponsor und der Prüfer unabhängig vom Vorliegen einer Genehmigung nach § 40c Absatz 3 alle Maßnahmen, die zum Schutz der Gesundheit nicht betroffener Personen und der Umwelt vor unmittelbarer Gefahr geboten sind;</w:t>
      </w:r>
    </w:p>
    <w:p>
      <w:pPr>
        <w:ind w:left="420"/>
      </w:pPr>
      <w:r>
        <w:t xml:space="preserve">2. unterrichtet der Prüfer den Sponsor unverzüglich über Beobachtungen von in der Risikobewertung nicht vorgesehenen etwaigen schädlichen Auswirkungen auf die Gesundheit nicht betroffener Personen und die Umwelt;</w:t>
      </w:r>
    </w:p>
    <w:p>
      <w:pPr>
        <w:ind w:left="420"/>
      </w:pPr>
      <w:r>
        <w:t xml:space="preserve">3. teilt der Sponsor der zuständigen Bundesoberbehörde unverzüglich alle ihm bekannt gewordenen neuen Informationen über Gefahren für die Gesundheit nicht betroffener Personen und für die Umwelt mit;</w:t>
      </w:r>
    </w:p>
    <w:p>
      <w:pPr>
        <w:ind w:left="420"/>
      </w:pPr>
      <w:r>
        <w:t xml:space="preserve">4. informiert der Sponsor die zuständige Bundesoberbehörde unmittelbar nach Abschluss der klinischen Prüfung über die Ergebnisse in Bezug auf die Gefahren für die menschliche Gesundheit oder die Umwelt;</w:t>
      </w:r>
    </w:p>
    <w:p>
      <w:pPr>
        <w:ind w:left="420"/>
      </w:pPr>
      <w:r>
        <w:t xml:space="preserve">5. unterrichtet die zuständige Bundesoberbehörde die Öffentlichkeit über den hinreichenden Verdacht einer Gefahr für die Gesundheit Dritter oder für die Umwelt in ihrem Wirkungsgefüge einschließlich der zu treffenden Vorsichtsmaßnahmen; wird die Genehmigung zurückgenommen oder widerrufen, das befristete Ruhen der Genehmigung oder eine Änderung der Bedingungen für die klinische Prüfung angeordnet und ist diese Maßnahme unanfechtbar geworden oder sofort vollziehbar, so soll die Öffentlichkeit von der zuständigen Bundesoberbehörde auch hierüber unterrichtet werden; die §§ 17a und 28a Absatz 2 Satz 2 und 3, Absatz 3 und 4 des Gentechnikgesetzes gelten entsprechend.</w:t>
      </w:r>
    </w:p>
    <w:p>
      <w:r>
        <w:rPr>
          <w:color w:val="555555"/>
          <w:sz w:val="17"/>
        </w:rPr>
        <w:t xml:space="preserve">Zitiervorschlag: § 40d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https://recht.nulegal.eu/gesetze/AMG%201976/40d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