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40c AMG 1976 — Verfahren bei Hinzufügung eines Mitgliedstaates, bei Änderungen sowie bei Bewertungsverfahren</w:t>
      </w:r>
    </w:p>
    <w:p>
      <w:r>
        <w:rPr>
          <w:color w:val="555555"/>
          <w:sz w:val="18"/>
        </w:rPr>
        <w:t xml:space="preserve">Arzneimittelgesetz</w:t>
      </w:r>
    </w:p>
    <w:p>
      <w:r>
        <w:rPr>
          <w:color w:val="555555"/>
          <w:sz w:val="18"/>
        </w:rPr>
        <w:t xml:space="preserve">Stand: 27.01.2022 (konsolidierte Textfassung, kein amtliches Inkrafttretensdatum)</w:t>
      </w:r>
    </w:p>
    <w:p>
      <w:r>
        <w:t xml:space="preserve">(1) Für die Verfahren zur späteren Hinzufügung eines zusätzlichen betroffenen Mitgliedstaates der Europäischen Union nach Artikel 14 der Verordnung (EU) Nr. 536/2014 und zur Genehmigung einer wesentlichen Änderung einer klinischen Prüfung nach den Artikeln 15 bis 24 der Verordnung (EU) Nr. 536/2014 gelten die §§ 40 bis 40b entsprechend.</w:t>
      </w:r>
    </w:p>
    <w:p>
      <w:r>
        <w:t xml:space="preserve">(2) Im Rahmen des Bewertungsverfahrens nach Artikel 44 der Verordnung (EU) Nr. 536/2014 wird die Bewertung der zuständigen Ethik-Kommission einbezogen.</w:t>
      </w:r>
    </w:p>
    <w:p>
      <w:r>
        <w:t xml:space="preserve">(3) Änderungen einer von der zuständigen Bundesoberbehörde genehmigten klinischen Prüfung mit Arzneimitteln, die aus gentechnisch veränderten Organismen bestehen oder diese enthalten und die geeignet sind, die Risikobewertung für die Gesundheit nicht betroffener Personen und die Umwelt zu verändern, darf der Sponsor nur vornehmen, wenn diese Änderungen von der zuständigen Bundesoberbehörde genehmigt wurden. Die Genehmigung ist bei der zuständigen Bundesoberbehörde zu beantragen. Der Antrag ist zu begründen.</w:t>
      </w:r>
    </w:p>
    <w:p>
      <w:r>
        <w:rPr>
          <w:color w:val="555555"/>
          <w:sz w:val="17"/>
        </w:rPr>
        <w:t xml:space="preserve">Zitiervorschlag: § 40c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https://recht.nulegal.eu/gesetze/AMG%201976/40c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