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40a AMG 1976 — Allgemeine Voraussetzungen für die klinische Prüfung</w:t>
      </w:r>
    </w:p>
    <w:p>
      <w:r>
        <w:rPr>
          <w:color w:val="555555"/>
          <w:sz w:val="18"/>
        </w:rPr>
        <w:t xml:space="preserve">Arzneimittelgesetz</w:t>
      </w:r>
    </w:p>
    <w:p>
      <w:r>
        <w:rPr>
          <w:color w:val="555555"/>
          <w:sz w:val="18"/>
        </w:rPr>
        <w:t xml:space="preserve">Stand: 28.01.2022 (konsolidierte Textfassung, kein amtliches Inkrafttretensdatum)</w:t>
      </w:r>
    </w:p>
    <w:p>
      <w:r>
        <w:t xml:space="preserve">Über die Voraussetzungen nach der Verordnung (EU) Nr. 536/2014 hinaus darf eine klinische Prüfung nur durchgeführt werden, solange</w:t>
      </w:r>
    </w:p>
    <w:p>
      <w:pPr>
        <w:ind w:left="420"/>
      </w:pPr>
      <w:r>
        <w:t xml:space="preserve">1. ein Sponsor oder ein Vertreter des Sponsors bei rein nationalen sowie bei national und in Drittstaaten durchgeführten klinischen Prüfungen vorhanden ist, der seinen Sitz in einem Mitgliedstaat der Europäischen Union oder in einem anderen Vertragsstaat des Abkommens über den Europäischen Wirtschaftsraum hat,</w:t>
      </w:r>
    </w:p>
    <w:p>
      <w:pPr>
        <w:ind w:left="420"/>
      </w:pPr>
      <w:r>
        <w:t xml:space="preserve">2. die Person, bei der die klinische Prüfung durchgeführt werden soll (betroffene Person) nicht auf gerichtliche oder behördliche Anordnung in einer Anstalt untergebracht ist,</w:t>
      </w:r>
    </w:p>
    <w:p>
      <w:pPr>
        <w:ind w:left="420"/>
      </w:pPr>
      <w:r>
        <w:t xml:space="preserve">3. für den Fall, dass bei der Durchführung der klinischen Prüfung ein Mensch getötet oder der Körper oder die Gesundheit eines Menschen verletzt wird, eine Versicherung, die auch Leistungen gewährt, wenn kein anderer für den Schaden haftet, nach folgenden Maßgaben besteht:</w:t>
      </w:r>
    </w:p>
    <w:p>
      <w:pPr>
        <w:ind w:left="780"/>
      </w:pPr>
      <w:r>
        <w:t xml:space="preserve">a) die Versicherung muss zugunsten der von der klinischen Prüfung betroffenen Person bei einem in einem Mitgliedstaat der Europäischen Union oder einem anderen Vertragsstaat des Abkommens über den Europäischen Wirtschaftsraum zum Geschäftsbetrieb zugelassenen Versicherer genommen werden,</w:t>
      </w:r>
    </w:p>
    <w:p>
      <w:pPr>
        <w:ind w:left="780"/>
      </w:pPr>
      <w:r>
        <w:t xml:space="preserve">b) der Umfang der Versicherung muss in einem angemessenen Verhältnis zu den mit einer klinischen Prüfung verbundenen Risiken stehen und auf der Grundlage der Risikoabschätzung so festgelegt werden, dass für jeden Fall des Todes oder der fortdauernden Erwerbsunfähigkeit einer von der klinischen Prüfung betroffenen Person mindestens 500 000 Euro zur Verfügung stehen,</w:t>
      </w:r>
    </w:p>
    <w:p>
      <w:pPr>
        <w:ind w:left="420"/>
      </w:pPr>
      <w:r>
        <w:t xml:space="preserve">4. nach dem Stand der Wissenschaft im Verhältnis zum Zweck der klinischen Prüfung eines Arzneimittels, das aus einem gentechnisch veränderten Organismus oder einer Kombination von gentechnisch veränderten Organismen besteht oder solche enthält, unvertretbare schädliche Auswirkungen nicht zu erwarten sind auf</w:t>
      </w:r>
    </w:p>
    <w:p>
      <w:pPr>
        <w:ind w:left="780"/>
      </w:pPr>
      <w:r>
        <w:t xml:space="preserve">a) die Gesundheit Dritter und</w:t>
      </w:r>
    </w:p>
    <w:p>
      <w:pPr>
        <w:ind w:left="780"/>
      </w:pPr>
      <w:r>
        <w:t xml:space="preserve">b) die Umwelt,</w:t>
      </w:r>
    </w:p>
    <w:p>
      <w:pPr>
        <w:ind w:left="420"/>
      </w:pPr>
      <w:r>
        <w:t xml:space="preserve">5. sie in einer nach Artikel 50 in Verbindung mit Anhang I Nummer 67 der Verordnung (EU) Nr. 536/2014 geeigneten Einrichtung stattfindet.</w:t>
      </w:r>
    </w:p>
    <w:p>
      <w:r>
        <w:t xml:space="preserve">Bei xenogenen Arzneimitteln müssen die Anforderungen nach Satz 1 Nummer 3 im Hinblick auf eine Versicherung von Drittrisiken erfüllt sein. Einer Versicherung nach Satz 1 Nummer 3 bedarf es nicht bei einer minimalinterventionellen klinischen Prüfung nach Artikel 2 Absatz 2 Nummer 3 der Verordnung (EU) Nr. 536/2014, soweit eine anderweitige Versicherung für Prüfer und Sponsor besteht. Soweit aus der Versicherung nach Satz 1 Nummer 3 geleistet wird, erlischt ein Anspruch auf Schadensersatz.</w:t>
      </w:r>
    </w:p>
    <w:p>
      <w:r>
        <w:rPr>
          <w:color w:val="555555"/>
          <w:sz w:val="17"/>
        </w:rPr>
        <w:t xml:space="preserve">Zitiervorschlag: § 40a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