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39a AMG 1976 — Registrierung traditioneller pflanzlicher Arzneimittel</w:t>
      </w:r>
    </w:p>
    <w:p>
      <w:r>
        <w:rPr>
          <w:color w:val="555555"/>
          <w:sz w:val="18"/>
        </w:rPr>
        <w:t xml:space="preserve">Arzneimittelgesetz</w:t>
      </w:r>
    </w:p>
    <w:p>
      <w:r>
        <w:rPr>
          <w:color w:val="555555"/>
          <w:sz w:val="18"/>
        </w:rPr>
        <w:t xml:space="preserve">Stand: 10.06.2019 (konsolidierte Textfassung, kein amtliches Inkrafttretensdatum)</w:t>
      </w:r>
    </w:p>
    <w:p>
      <w:r>
        <w:t xml:space="preserve">Fertigarzneimittel, die pflanzliche Arzneimittel und Arzneimittel im Sinne des § 2 Abs. 1 sind, dürfen als traditionelle pflanzliche Arzneimittel nur in den Verkehr gebracht werden, wenn sie durch die zuständige Bundesoberbehörde registriert sind. Dies gilt auch für pflanzliche Arzneimittel, die Vitamine oder Mineralstoffe enthalten, sofern die Vitamine oder Mineralstoffe die Wirkung der traditionellen pflanzlichen Arzneimittel im Hinblick auf das Anwendungsgebiet oder die Anwendungsgebiete ergänzen.</w:t>
      </w:r>
    </w:p>
    <w:p>
      <w:r>
        <w:rPr>
          <w:color w:val="555555"/>
          <w:sz w:val="17"/>
        </w:rPr>
        <w:t xml:space="preserve">Zitiervorschlag: § 39a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https://recht.nulegal.eu/gesetze/AMG%201976/39a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