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AMG 1976 — Registrierung homöopathischer Arzneimittel</w:t>
      </w:r>
    </w:p>
    <w:p>
      <w:r>
        <w:rPr>
          <w:color w:val="555555"/>
          <w:sz w:val="18"/>
        </w:rPr>
        <w:t xml:space="preserve">Arzneimittelgesetz</w:t>
      </w:r>
    </w:p>
    <w:p>
      <w:r>
        <w:rPr>
          <w:color w:val="555555"/>
          <w:sz w:val="18"/>
        </w:rPr>
        <w:t xml:space="preserve">Stand: 28.01.2022 (konsolidierte Textfassung, kein amtliches Inkrafttretensdatum)</w:t>
      </w:r>
    </w:p>
    <w:p>
      <w:r>
        <w:t xml:space="preserve">(1) Fertigarzneimittel dürfen als homöopathische Arzneimittel im Geltungsbereich dieses Gesetzes nur in den Verkehr gebracht werden, wenn sie in ein bei der zuständigen Bundesoberbehörde zu führendes Register für homöopathische Arzneimittel eingetragen sind (Registrierung). Einer Zulassung bedarf es nicht; § 21 Absatz 3 findet entsprechende Anwendung. Einer Registrierung bedarf es nicht für Arzneimittel, die von einem pharmazeutischen Unternehmer in Mengen bis zu 1 000 Packungen in einem Jahr in den Verkehr gebracht werden, es sei denn, es handelt sich um Arzneimittel,</w:t>
      </w:r>
    </w:p>
    <w:p>
      <w:pPr>
        <w:ind w:left="420"/>
      </w:pPr>
      <w:r>
        <w:t xml:space="preserve">1. die Zubereitungen aus Stoffen gemäß § 3 Nr. 3 oder 4 enthalten,</w:t>
      </w:r>
    </w:p>
    <w:p>
      <w:pPr>
        <w:ind w:left="420"/>
      </w:pPr>
      <w:r>
        <w:t xml:space="preserve">2. die mehr als den hundertsten Teil der in nicht homöopathischen, der Verschreibungspflicht nach § 48 unterliegenden Arzneimitteln verwendeten kleinsten Dosis enthalten oder</w:t>
      </w:r>
    </w:p>
    <w:p>
      <w:pPr>
        <w:ind w:left="420"/>
      </w:pPr>
      <w:r>
        <w:t xml:space="preserve">3. bei denen die Tatbestände des § 39 Abs. 2 Nr. 3, 4, 6, 7 oder 9 vorliegen.</w:t>
      </w:r>
    </w:p>
    <w:p>
      <w:r>
        <w:t xml:space="preserve">(2) Dem Antrag auf Registrierung sind die in § 22 und § 24 bezeichneten Angaben, Unterlagen und Gutachten beizufügen. Das gilt nicht für die Angaben über die Wirkungen und Anwendungsgebiete, für die Unterlagen und Gutachten über die klinische Prüfung sowie für Angaben nach § 22 Absatz 2 Satz 1 Nummer 5 und 5a und Absatz 7 Satz 2. Die Unterlagen über die pharmakologisch-toxikologische Prüfung sind vorzulegen, soweit sich die Unbedenklichkeit des Arzneimittels nicht anderweitig, insbesondere durch einen angemessen hohen Verdünnungsgrad ergibt. § 22 Absatz 1a gilt entsprechend.</w:t>
      </w:r>
    </w:p>
    <w:p>
      <w:r>
        <w:rPr>
          <w:color w:val="555555"/>
          <w:sz w:val="17"/>
        </w:rPr>
        <w:t xml:space="preserve">Zitiervorschlag: § 38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