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AMG 1976 — Ermächtigungen zur Zulassung und Freistellung</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durch Rechtsverordnung mit Zustimmung des Bundesrates</w:t>
      </w:r>
    </w:p>
    <w:p>
      <w:pPr>
        <w:ind w:left="420"/>
      </w:pPr>
      <w:r>
        <w:t xml:space="preserve">1. (weggefallen)</w:t>
      </w:r>
    </w:p>
    <w:p>
      <w:pPr>
        <w:ind w:left="420"/>
      </w:pPr>
      <w:r>
        <w:t xml:space="preserve">2. die Vorschriften über die Zulassung auf Arzneimittel, die nicht der Zulassungspflicht nach § 21 Absatz 1 unterliegen, sowie auf Arzneimittel, die nach § 21 Absatz 2 Nummer 1g von der Zulassung freigestellt sind, auszudehnen, soweit es geboten ist, um eine unmittelbare oder mittelbare Gefährdung der menschlichen Gesundheit zu verhüten,</w:t>
      </w:r>
    </w:p>
    <w:p>
      <w:pPr>
        <w:ind w:left="420"/>
      </w:pPr>
      <w:r>
        <w:t xml:space="preserve">3. die Vorschriften über die Freigabe einer Charge und die staatliche Chargenprüfung auf andere Arzneimittel, die in ihrer Zusammensetzung oder in ihrem Wirkstoffgehalt Schwankungen unterworfen sind, auszudehnen, soweit es geboten ist, um eine unmittelbare oder mittelbare Gefährdung der menschlichen Gesundheit zu verhüten,</w:t>
      </w:r>
    </w:p>
    <w:p>
      <w:pPr>
        <w:ind w:left="420"/>
      </w:pPr>
      <w:r>
        <w:t xml:space="preserve">4. bestimmte Arzneimittel von der staatlichen Chargenprüfung freizustellen, wenn das Herstellungsverfahren und das Prüfungsverfahren des Herstellers einen Entwicklungsstand erreicht haben, bei dem die Qualität, Wirksamkeit und Unbedenklichkeit gewährleistet sind.</w:t>
      </w:r>
    </w:p>
    <w:p>
      <w:r>
        <w:t xml:space="preserve">(2) Die Rechtsverordnungen nach Absatz 1 Nr. 2 bis 4 ergehen im Einvernehmen mit dem Bundesministerium für Wirtschaft und Energie und, soweit es sich um radioaktive Arzneimittel und um Arzneimittel handelt, bei deren Herstellung ionisierende Strahlen verwendet werden, im Einvernehmen mit dem Bundesministerium für Umwelt, Naturschutz und nukleare Sicherheit.</w:t>
      </w:r>
    </w:p>
    <w:p>
      <w:r>
        <w:rPr>
          <w:color w:val="555555"/>
          <w:sz w:val="17"/>
        </w:rPr>
        <w:t xml:space="preserve">Zitiervorschlag: § 35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