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20a AMG 1976 — Geltung für Wirkstoffe und andere Stoffe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13 Abs. 2 und 4 und die §§ 14 bis 20 gelten entsprechend für Wirkstoffe und für andere zur Arzneimittelherstellung bestimmte Stoffe menschlicher Herkunft, soweit ihre Herstellung oder Prüfung nach § 13 Abs. 1 einer Erlaubnis bedarf.</w:t>
      </w:r>
    </w:p>
    <w:p>
      <w:r>
        <w:rPr>
          <w:color w:val="555555"/>
          <w:sz w:val="17"/>
        </w:rPr>
        <w:t xml:space="preserve">Zitiervorschlag: § 20a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https://recht.nulegal.eu/gesetze/AMG%201976/20a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