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AMG 1976 — Verantwortungsbereiche</w:t>
      </w:r>
    </w:p>
    <w:p>
      <w:r>
        <w:rPr>
          <w:color w:val="555555"/>
          <w:sz w:val="18"/>
        </w:rPr>
        <w:t xml:space="preserve">Arzneimittelgesetz</w:t>
      </w:r>
    </w:p>
    <w:p>
      <w:r>
        <w:rPr>
          <w:color w:val="555555"/>
          <w:sz w:val="18"/>
        </w:rPr>
        <w:t xml:space="preserve">Stand: 10.06.2019 (konsolidierte Textfassung, kein amtliches Inkrafttretensdatum)</w:t>
      </w:r>
    </w:p>
    <w:p>
      <w:r>
        <w:t xml:space="preserve">Die sachkundige Person nach § 14 ist dafür verantwortlich, dass jede Charge des Arzneimittels entsprechend den Vorschriften über den Verkehr mit Arzneimitteln hergestellt und geprüft wurde. Sie hat die Einhaltung dieser Vorschriften für jede Arzneimittelcharge in einem fortlaufenden Register oder einem vergleichbaren Dokument vor deren Inverkehrbringen zu bescheinigen.</w:t>
      </w:r>
    </w:p>
    <w:p>
      <w:r>
        <w:rPr>
          <w:color w:val="555555"/>
          <w:sz w:val="17"/>
        </w:rPr>
        <w:t xml:space="preserve">Zitiervorschlag: § 19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