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AMG 1976 — Rücknahme, Widerruf, Ruhen</w:t>
      </w:r>
    </w:p>
    <w:p>
      <w:r>
        <w:rPr>
          <w:color w:val="555555"/>
          <w:sz w:val="18"/>
        </w:rPr>
        <w:t xml:space="preserve">Arzneimittelgesetz</w:t>
      </w:r>
    </w:p>
    <w:p>
      <w:r>
        <w:rPr>
          <w:color w:val="555555"/>
          <w:sz w:val="18"/>
        </w:rPr>
        <w:t xml:space="preserve">Stand: 10.06.2019 (konsolidierte Textfassung, kein amtliches Inkrafttretensdatum)</w:t>
      </w:r>
    </w:p>
    <w:p>
      <w:r>
        <w:t xml:space="preserve">(1) Die Erlaubnis ist zurückzunehmen, wenn nachträglich bekannt wird, dass einer der Versagungsgründe nach § 14 Abs. 1 bei der Erteilung vorgelegen hat. Ist einer der Versagungsgründe nachträglich eingetreten, so ist sie zu widerrufen; an Stelle des Widerrufs kann auch das Ruhen der Erlaubnis angeordnet werden. § 13 Abs. 4 findet entsprechende Anwendung.</w:t>
      </w:r>
    </w:p>
    <w:p>
      <w:r>
        <w:t xml:space="preserve">(2) Die zuständige Behörde kann vorläufig anordnen, dass die Herstellung eines Arzneimittels eingestellt wird, wenn der Hersteller die für die Herstellung und Prüfung zu führenden Nachweise nicht vorlegt. Die vorläufige Anordnung kann auf eine Charge beschränkt werden.</w:t>
      </w:r>
    </w:p>
    <w:p>
      <w:r>
        <w:rPr>
          <w:color w:val="555555"/>
          <w:sz w:val="17"/>
        </w:rPr>
        <w:t xml:space="preserve">Zitiervorschlag: § 18 AMG 1976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https://recht.nulegal.eu/gesetze/AMG%201976/18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