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AMG 1976 — Fristen für die Erteilung</w:t>
      </w:r>
    </w:p>
    <w:p>
      <w:r>
        <w:rPr>
          <w:color w:val="555555"/>
          <w:sz w:val="18"/>
        </w:rPr>
        <w:t xml:space="preserve">Arzneimittelgesetz</w:t>
      </w:r>
    </w:p>
    <w:p>
      <w:r>
        <w:rPr>
          <w:color w:val="555555"/>
          <w:sz w:val="18"/>
        </w:rPr>
        <w:t xml:space="preserve">Stand: 10.06.2019 (konsolidierte Textfassung, kein amtliches Inkrafttretensdatum)</w:t>
      </w:r>
    </w:p>
    <w:p>
      <w:r>
        <w:t xml:space="preserve">(1) Die zuständige Behörde hat eine Entscheidung über den Antrag auf Erteilung der Erlaubnis innerhalb einer Frist von drei Monaten zu treffen.</w:t>
      </w:r>
    </w:p>
    <w:p>
      <w:r>
        <w:t xml:space="preserve">(2) Beantragt ein Erlaubnisinhaber die Änderung der Erlaubnis in Bezug auf die herzustellenden Arzneimittel oder in Bezug auf die Räume und Einrichtungen im Sinne des § 14 Abs. 1 Nr. 6, so hat die Behörde die Entscheidung innerhalb einer Frist von einem Monat zu treffen. In Ausnahmenfällen verlängert sich die Frist um weitere zwei Monate. Der Antragsteller ist hiervon vor Fristablauf unter Mitteilung der Gründe in Kenntnis zu setzen.</w:t>
      </w:r>
    </w:p>
    <w:p>
      <w:r>
        <w:t xml:space="preserve">(3) Gibt die Behörde dem Antragsteller nach § 14 Abs. 5 Gelegenheit, Mängeln abzuhelfen, so werden die Fristen bis zur Behebung der Mängel oder bis zum Ablauf der nach § 14 Abs. 5 gesetzten Frist gehemmt. Die Hemmung beginnt mit dem Tage, an dem dem Antragsteller die Aufforderung zur Behebung der Mängel zugestellt wird.</w:t>
      </w:r>
    </w:p>
    <w:p>
      <w:r>
        <w:rPr>
          <w:color w:val="555555"/>
          <w:sz w:val="17"/>
        </w:rPr>
        <w:t xml:space="preserve">Zitiervorschlag: § 17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