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142b AMG 1976 — Übergangsvorschrift aus Anlass des Gesetzes zur Fortschreibung der Vorschriften für Blut- und Gewebezubereitungen und zur Änderung anderer Vorschriften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für Arzneimittel für neuartige Therapien am 29. Juli 2017 eine Genehmigung nach § 4b Absatz 3 in der bis zum 28. Juli 2017 geltenden Fassung besitzt, muss die Anforderungen des § 4b Absatz 3 Satz 3 und 4 und Absatz 4 ab dem 29. Juli 2019 erfüllen.</w:t>
      </w:r>
    </w:p>
    <w:p>
      <w:r>
        <w:t xml:space="preserve">(2) Wer am 29. Juli 2017 eine Genehmigung nach § 21a Absatz 1 besitzt, muss die Anforderungen des § 21a Absatz 2 und 3 ab dem 29. Juli 2019 erfüllen.</w:t>
      </w:r>
    </w:p>
    <w:p>
      <w:r>
        <w:rPr>
          <w:color w:val="555555"/>
          <w:sz w:val="17"/>
        </w:rPr>
        <w:t xml:space="preserve">Zitiervorschlag: § 142b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https://recht.nulegal.eu/gesetze/AMG%201976/142b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