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142a AMG 1976 — Übergangs- und Bestandsschutzvorschrift aus Anlass des Gesetzes zur Umsetzung der Richtlinien (EU) 2015/566 und (EU) 2015/565 zur Einfuhr und zur Kodierung menschlicher Gewebe und Gewebezubereitungen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autologes Blut für die Herstellung von biotechnologisch bearbeiteten Gewebeprodukten ist § 72b in der bis einschließlich 25. November 2016 geltenden Fassung anzuwenden.</w:t>
      </w:r>
    </w:p>
    <w:p>
      <w:r>
        <w:t xml:space="preserve">(2) Wer am 26. November 2016 eine Erlaubnis nach der bis einschließlich 25. November 2016 geltenden Fassung des § 72 Absatz 1 für die Einfuhr von hämatopoetischen Stammzellen und Stammzellzubereitungen aus dem peripheren Blut oder aus dem Nabelschnurblut oder eine Erlaubnis nach der bis einschließlich 25. November 2016 geltenden Fassung des § 72b Absatz 1 besitzt, muss ab dem 29. April 2017 die Anforderungen des § 72 Absatz 4 und 5, § 72a Absatz 1 Satz 2 und Absatz 1e, § 72b Absatz 1, 1a, 2 Satz 2, Absatz 2a, 2c, 2d und des § 72c erfüllen.</w:t>
      </w:r>
    </w:p>
    <w:p>
      <w:r>
        <w:t xml:space="preserve">(3) Die Verpflichtung zur Kennzeichnung hämatopoetischer Stammzellzubereitungen aus dem peripheren Blut oder aus dem Nabelschnurblut mit dem Einheitlichen Europäischen Code mit der Abkürzung „SEC“ nach § 10 Absatz 8a Satz 3 und die Verpflichtung zur Kennzeichnung von Gewebezubereitungen mit dem Einheitlichen Europäischen Code mit der Abkürzung „SEC“ nach § 10 Absatz 8b Satz 1 sind ab dem 29. April 2017 zu erfüllen.</w:t>
      </w:r>
    </w:p>
    <w:p>
      <w:r>
        <w:rPr>
          <w:color w:val="555555"/>
          <w:sz w:val="17"/>
        </w:rPr>
        <w:t xml:space="preserve">Zitiervorschlag: § 142a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https://recht.nulegal.eu/gesetze/AMG%201976/142a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