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142 AMG 1976 — Übergangsvorschriften aus Anlass des Gewebegesetzes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Person, die am 1. August 2007 als sachkundige Person die Sachkenntnis nach § 15 Abs. 3a in der bis zu diesem Zeitpunkt geltenden Fassung besitzt, darf die Tätigkeit als sachkundige Person weiter ausüben.</w:t>
      </w:r>
    </w:p>
    <w:p>
      <w:r>
        <w:t xml:space="preserve">(2) Wer für Gewebe oder Gewebezubereitungen bis zum 1. Oktober 2007 eine Erlaubnis nach § 20b Abs. 1 oder Abs. 2 oder § 20c Abs. 1 oder eine Herstellungserlaubnis nach § 13 Abs. 1 oder bis zum 1. Februar 2008 eine Genehmigung nach § 21a Abs. 1 oder bis zum 30. September 2008 eine Zulassung nach § 21 Abs. 1 beantragt hat, darf diese Gewebe oder Gewebezubereitungen weiter gewinnen, im Labor untersuchen, be- oder verarbeiten, konservieren, lagern oder in den Verkehr bringen, bis über den Antrag entschieden worden ist.</w:t>
      </w:r>
    </w:p>
    <w:p>
      <w:r>
        <w:t xml:space="preserve">(3) Wer am 1. August 2007 für Gewebe oder Gewebezubereitungen im Sinne von § 20b Abs. 1 oder § 20c Abs. 1 eine Herstellungserlaubnis nach § 13 Abs. 1 oder für Gewebezubereitungen im Sinne von § 21a Abs. 1 eine Zulassung nach § 21 Abs. 1 besitzt, muss keinen neuen Antrag nach § 20b Abs. 1, § 20c Abs. 1 oder § 21a Abs. 1 stellen.</w:t>
      </w:r>
    </w:p>
    <w:p>
      <w:r>
        <w:rPr>
          <w:color w:val="555555"/>
          <w:sz w:val="17"/>
        </w:rPr>
        <w:t xml:space="preserve">Zitiervorschlag: § 142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