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AMG 1976 — Entscheidung über die Herstellungserlaubnis</w:t>
      </w:r>
    </w:p>
    <w:p>
      <w:r>
        <w:rPr>
          <w:color w:val="555555"/>
          <w:sz w:val="18"/>
        </w:rPr>
        <w:t xml:space="preserve">Arzneimittelgesetz</w:t>
      </w:r>
    </w:p>
    <w:p>
      <w:r>
        <w:rPr>
          <w:color w:val="555555"/>
          <w:sz w:val="18"/>
        </w:rPr>
        <w:t xml:space="preserve">Stand: 30.10.2024 (konsolidierte Textfassung, kein amtliches Inkrafttretensdatum)</w:t>
      </w:r>
    </w:p>
    <w:p>
      <w:r>
        <w:t xml:space="preserve">(1) Die Erlaubnis darf nur versagt werden, wenn</w:t>
      </w:r>
    </w:p>
    <w:p>
      <w:pPr>
        <w:ind w:left="420"/>
      </w:pPr>
      <w:r>
        <w:t xml:space="preserve">1. nicht mindestens eine Person mit der nach § 15 erforderlichen Sachkenntnis (sachkundige Person nach § 14) vorhanden ist, die für die in § 19 genannte Tätigkeit verantwortlich ist,</w:t>
      </w:r>
    </w:p>
    <w:p>
      <w:pPr>
        <w:ind w:left="420"/>
      </w:pPr>
      <w:r>
        <w:t xml:space="preserve">2. (weggefallen)</w:t>
      </w:r>
    </w:p>
    <w:p>
      <w:pPr>
        <w:ind w:left="420"/>
      </w:pPr>
      <w:r>
        <w:t xml:space="preserve">3. die sachkundige Person nach Nummer 1 oder der Antragsteller die zur Ausübung ihrer Tätigkeit erforderliche Zuverlässigkeit nicht besitzt,</w:t>
      </w:r>
    </w:p>
    <w:p>
      <w:pPr>
        <w:ind w:left="420"/>
      </w:pPr>
      <w:r>
        <w:t xml:space="preserve">4. die sachkundige Person nach Nummer 1 die ihr obliegenden Verpflichtungen nicht ständig erfüllen kann,</w:t>
      </w:r>
    </w:p>
    <w:p>
      <w:pPr>
        <w:ind w:left="420"/>
      </w:pPr>
      <w:r>
        <w:t xml:space="preserve">5. der Arzt, in dessen Verantwortung eine Vorbehandlung der spendenden Person zur Separation von hämatopoetischen Stammzellen aus dem peripheren Blut oder von anderen Blutbestandteilen durchgeführt wird, nicht die erforderliche Sachkenntnis besitzt,</w:t>
      </w:r>
    </w:p>
    <w:p>
      <w:pPr>
        <w:ind w:left="420"/>
      </w:pPr>
      <w:r>
        <w:t xml:space="preserve">5a. entgegen § 4 Satz 1 Nr. 2 des Transfusionsgesetzes keine leitende ärztliche Person bestellt worden ist oder diese Person nicht die erforderliche Sachkunde nach dem Stand der medizinischen Wissenschaft besitzt oder entgegen § 4 Satz 1 Nr. 3 des Transfusionsgesetzes bei der Durchführung der Spendeentnahme von einem Menschen keine ärztliche Person vorhanden ist,</w:t>
      </w:r>
    </w:p>
    <w:p>
      <w:pPr>
        <w:ind w:left="420"/>
      </w:pPr>
      <w:r>
        <w:t xml:space="preserve">6. geeignete Räume und Einrichtungen für die beabsichtigte Herstellung, Prüfung und Lagerung der Arzneimittel nicht vorhanden sind oder</w:t>
      </w:r>
    </w:p>
    <w:p>
      <w:pPr>
        <w:ind w:left="420"/>
      </w:pPr>
      <w:r>
        <w:t xml:space="preserve">6a. der Hersteller nicht in der Lage ist zu gewährleisten, dass die Herstellung oder Prüfung der Arzneimittel nach dem Stand von Wissenschaft und Technik und bei der Gewinnung von Blut und Blutbestandteilen zusätzlich nach den Vorschriften des Zweiten Abschnitts des Transfusionsgesetzes vorgenommen wird.</w:t>
      </w:r>
    </w:p>
    <w:p>
      <w:r>
        <w:t xml:space="preserve">(2) (weggefallen)</w:t>
      </w:r>
    </w:p>
    <w:p>
      <w:r>
        <w:t xml:space="preserve">(2a) Die leitende ärztliche Person nach § 4 Satz 1 Nr. 2 des Transfusionsgesetzes kann zugleich die sachkundige Person nach Absatz 1 Nr. 1 sein.</w:t>
      </w:r>
    </w:p>
    <w:p>
      <w:r>
        <w:t xml:space="preserve">(2b) (weggefallen)</w:t>
      </w:r>
    </w:p>
    <w:p>
      <w:r>
        <w:t xml:space="preserve">(3) (weggefallen)</w:t>
      </w:r>
    </w:p>
    <w:p>
      <w:r>
        <w:t xml:space="preserve">(4) Abweichend von Absatz 1 Nr. 6 kann teilweise außerhalb der Betriebsstätte des Arzneimittelherstellers</w:t>
      </w:r>
    </w:p>
    <w:p>
      <w:pPr>
        <w:ind w:left="420"/>
      </w:pPr>
      <w:r>
        <w:t xml:space="preserve">1. die Herstellung von Arzneimitteln zur klinischen Prüfung in einer beauftragten Apotheke,</w:t>
      </w:r>
    </w:p>
    <w:p>
      <w:pPr>
        <w:ind w:left="420"/>
      </w:pPr>
      <w:r>
        <w:t xml:space="preserve">2. die Änderung des Verfalldatums von Arzneimitteln zur klinischen Prüfung in einer Prüfstelle durch eine beauftragte Person des Herstellers, sofern diese Arzneimittel ausschließlich zur Anwendung in dieser Prüfstelle bestimmt sind,</w:t>
      </w:r>
    </w:p>
    <w:p>
      <w:pPr>
        <w:ind w:left="420"/>
      </w:pPr>
      <w:r>
        <w:t xml:space="preserve">3. die Prüfung der Arzneimittel in beauftragten Betrieben,</w:t>
      </w:r>
    </w:p>
    <w:p>
      <w:pPr>
        <w:ind w:left="420"/>
      </w:pPr>
      <w:r>
        <w:t xml:space="preserve">4. die Gewinnung oder Prüfung, einschließlich der Laboruntersuchungen der Spenderproben, von zur Arzneimittelherstellung bestimmten Stoffen menschlicher Herkunft, mit Ausnahme von Gewebe, in anderen Betrieben oder Einrichtungen,</w:t>
      </w:r>
    </w:p>
    <w:p>
      <w:r>
        <w:t xml:space="preserve">die keiner eigenen Erlaubnis bedürfen, durchgeführt werden, wenn bei diesen hierfür geeignete Räume und Einrichtungen vorhanden sind und gewährleistet ist, dass die Herstellung und Prüfung nach dem Stand von Wissenschaft und Technik erfolgt und die sachkundige Person nach Absatz 1 Nummer 1 ihre Verantwortung wahrnehmen kann.</w:t>
      </w:r>
    </w:p>
    <w:p>
      <w:r>
        <w:t xml:space="preserve">(5) Bei Beanstandungen der vorgelegten Unterlagen ist dem Antragsteller Gelegenheit zu geben, Mängeln innerhalb einer angemessenen Frist abzuhelfen. Wird den Mängeln nicht abgeholfen, so ist die Erteilung der Erlaubnis zu versagen.</w:t>
      </w:r>
    </w:p>
    <w:p>
      <w:r>
        <w:t xml:space="preserve">(6) Für Arzneimittel für neuartige Therapien kann die zuständige Bundesoberbehörde Empfehlungen zur Auslegung der Grundsätze und Leitlinien der Guten Herstellungspraxis veröffentlichen. Das Gleiche gilt für Arzneimittel, die als individuelle Zubereitung für einen einzelnen Patienten hergestellt und unter der fachlichen Verantwortung eines Arztes zur antibakteriellen Therapie angewendet werden. Die Veröffentlichung der Empfehlungen nach Satz 2 erfolgt im Einvernehmen mit dem Paul-Ehrlich-Institut.</w:t>
      </w:r>
    </w:p>
    <w:p>
      <w:r>
        <w:t xml:space="preserve">(7) Die zuständige Bundesoberbehörde erstellt auf Antrag einer zuständigen Behörde eine Stellungnahme zur Auslegung der Grundsätze und Leitlinien der Guten Herstellungspraxis für die in Absatz 6 Satz 1 und 2 genannten Arzneimittel. Dem Antrag ist eine Begründung beizufügen. Die zuständige Bundesoberbehörde veröffentlicht die Stellungnahme nach Satz 1 auf ihrer Internetseite in einer Fassung, die keinen Rückschluss auf Betriebs- und Geschäftsgeheimnisse und personenbezogene Daten erlaubt.</w:t>
      </w:r>
    </w:p>
    <w:p>
      <w:r>
        <w:rPr>
          <w:color w:val="555555"/>
          <w:sz w:val="17"/>
        </w:rPr>
        <w:t xml:space="preserve">Zitiervorschlag: § 14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