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134 AMG 1976</w:t>
      </w:r>
    </w:p>
    <w:p>
      <w:r>
        <w:rPr>
          <w:color w:val="555555"/>
          <w:sz w:val="18"/>
        </w:rPr>
        <w:t xml:space="preserve">Arzneimittelgesetz</w:t>
      </w:r>
    </w:p>
    <w:p>
      <w:r>
        <w:rPr>
          <w:color w:val="555555"/>
          <w:sz w:val="18"/>
        </w:rPr>
        <w:t xml:space="preserve">Stand: 10.06.2019 (konsolidierte Textfassung, kein amtliches Inkrafttretensdatum)</w:t>
      </w:r>
    </w:p>
    <w:p>
      <w:r>
        <w:t xml:space="preserve">Wer bei Inkrafttreten des Transfusionsgesetzes vom 1. Juli 1998 (BGBl. I S. 1752) die Tätigkeit als Herstellungsleiter für die Herstellung oder als Kontrollleiter für die Prüfung von Blutzubereitungen oder Sera aus menschlichem Blut ausübt und die Voraussetzungen des § 15 Abs. 3 in der bis zu dem genannten Zeitpunkt geltenden Fassung erfüllt, darf diese Tätigkeit weiter ausüben. Wer zu dem in Satz 1 genannten Zeitpunkt die Tätigkeit der Vorbehandlung von Personen zur Separation von hämatopoetischen Stammzellen aus dem peripheren Blut oder von anderen Blutbestandteilen nach dem Stand von Wissenschaft und Technik ausübt, darf diese Tätigkeit weiter ausüben.</w:t>
      </w:r>
    </w:p>
    <w:p>
      <w:r>
        <w:rPr>
          <w:color w:val="555555"/>
          <w:sz w:val="17"/>
        </w:rPr>
        <w:t xml:space="preserve">Zitiervorschlag: § 134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https://recht.nulegal.eu/gesetze/AMG%201976/134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