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131 AMG 1976</w:t>
      </w:r>
    </w:p>
    <w:p>
      <w:r>
        <w:rPr>
          <w:color w:val="555555"/>
          <w:sz w:val="18"/>
        </w:rPr>
        <w:t xml:space="preserve">Arzneimittelgesetz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Verpflichtung zur Vorlage oder Übersendung einer Fachinformation nach § 11a gilt § 128 für Arzneimittel, die sich bei Wirksamwerden des Beitritts in dem in Artikel 3 des Einigungsvertrages genannten Gebiet in Verkehr befinden, entsprechend.</w:t>
      </w:r>
    </w:p>
    <w:p>
      <w:r>
        <w:rPr>
          <w:color w:val="555555"/>
          <w:sz w:val="17"/>
        </w:rPr>
        <w:t xml:space="preserve">Zitiervorschlag: § 131 AMG 1976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https://recht.nulegal.eu/gesetze/AMG%201976/131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