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am 1. Februar 1987 als privater Sachverständiger zur Untersuchung von Proben nach § 65 Abs. 2 bestellt ist, darf diese Tätigkeit im bisherigen Umfang weiter ausüben.</w:t>
      </w:r>
    </w:p>
    <w:p>
      <w:r>
        <w:rPr>
          <w:color w:val="555555"/>
          <w:sz w:val="17"/>
        </w:rPr>
        <w:t xml:space="preserve">Zitiervorschlag: § 130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