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(1) Arzneimittel, die sich am 1. Februar 1987 im Verkehr befinden und den Kennzeichnungsvorschriften des § 10 unterliegen, müssen ein Jahr nach der ersten auf den 1. Februar 1987 erfolgenden Verlängerung der Zulassung oder nach der Freistellung von der Zulassung, oder, soweit sie homöopathische Arzneimittel sind, fünf Jahre nach dem 1. Februar 1987 vom pharmazeutischen Unternehmer entsprechend der Vorschrift des § 10 Abs. 1 Nr. 9 in den Verkehr gebracht werden. Bis zu diesem Zeitpunkt dürfen Arzneimittel nach Satz 1 vom pharmazeutischen Unternehmer, nach diesem Zeitpunkt weiterhin von Groß- und Einzelhändlern ohne Angabe eines Verfalldatums in den Verkehr gebracht werden, wenn die Dauer der Haltbarkeit mehr als drei Jahre oder bei Arzneimitteln, für die die Regelung des § 109 gilt, mehr als zwei Jahre beträgt. § 109 bleibt unberührt.</w:t>
      </w:r>
    </w:p>
    <w:p>
      <w:r>
        <w:t xml:space="preserve">(2) Arzneimittel, die sich am 1. Februar 1987 im Verkehr befinden und den Kennzeichnungsvorschriften des § 10 Abs. 1a unterliegen, dürfen vom pharmazeutischen Unternehmer noch bis zum 31. Dezember 1988, von Groß- und Einzelhändlern auch nach diesem Zeitpunkt ohne die Angaben nach § 10 Abs. 1a in den Verkehr gebracht werden.</w:t>
      </w:r>
    </w:p>
    <w:p>
      <w:r>
        <w:rPr>
          <w:color w:val="555555"/>
          <w:sz w:val="17"/>
        </w:rPr>
        <w:t xml:space="preserve">Zitiervorschlag: § 127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