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AMG 1976</w:t>
      </w:r>
    </w:p>
    <w:p>
      <w:r>
        <w:rPr>
          <w:color w:val="555555"/>
          <w:sz w:val="18"/>
        </w:rPr>
        <w:t xml:space="preserve">Arzneimittelgesetz</w:t>
      </w:r>
    </w:p>
    <w:p>
      <w:r>
        <w:rPr>
          <w:color w:val="555555"/>
          <w:sz w:val="18"/>
        </w:rPr>
        <w:t xml:space="preserve">Stand: 10.06.2019 (konsolidierte Textfassung, kein amtliches Inkrafttretensdatum)</w:t>
      </w:r>
    </w:p>
    <w:p>
      <w:r>
        <w:t xml:space="preserve">Ärzte, die am 1. Januar 1978 nach landesrechtlichen Vorschriften zur Herstellung sowie zur Abgabe von Arzneimitteln an die von ihnen behandelten Personen berechtigt sind, dürfen diese Tätigkeit im bisherigen Umfang weiter ausüben. § 78 findet Anwendung.</w:t>
      </w:r>
    </w:p>
    <w:p>
      <w:r>
        <w:rPr>
          <w:color w:val="555555"/>
          <w:sz w:val="17"/>
        </w:rPr>
        <w:t xml:space="preserve">Zitiervorschlag: § 116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