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105a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(weggefallen)</w:t>
      </w:r>
    </w:p>
    <w:p>
      <w:r>
        <w:t xml:space="preserve">(2) (weggefallen)</w:t>
      </w:r>
    </w:p>
    <w:p>
      <w:r>
        <w:t xml:space="preserve">(3) Die zuständige Bundesoberbehörde kann bei Fertigarzneimitteln, die nicht der Verschreibungspflicht nach § 48 unterliegen, zunächst von einer Prüfung der vorgelegten Fachinformation absehen und den pharmazeutischen Unternehmer von den Pflichten nach § 11a und den Pharmaberater von der Pflicht nach § 76 Abs. 1 Satz 1 freistellen, bis der einheitliche Wortlaut einer Fachinformation für entsprechende Arzneimittel durch Auflage nach § 28 Abs. 2 Nr. 3 angeordnet ist.</w:t>
      </w:r>
    </w:p>
    <w:p>
      <w:r>
        <w:t xml:space="preserve">(4) Die Absätze 1 bis 3 gelten nicht für Arzneimittel, die in die Zuständigkeit des Paul-Ehrlich-Instituts fallen.</w:t>
      </w:r>
    </w:p>
    <w:p>
      <w:r>
        <w:rPr>
          <w:color w:val="555555"/>
          <w:sz w:val="17"/>
        </w:rPr>
        <w:t xml:space="preserve">Zitiervorschlag: § 105a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