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103 AMG 1976</w:t>
      </w:r>
    </w:p>
    <w:p>
      <w:r>
        <w:rPr>
          <w:color w:val="555555"/>
          <w:sz w:val="18"/>
        </w:rPr>
        <w:t xml:space="preserve">Arzneimittelgesetz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Für Arzneimittel, die nach § 19a oder nach § 19d in Verbindung mit § 19a des Arzneimittelgesetzes 1961 am 1. Januar 1978 zugelassen sind oder für die am 1. Januar 1978 eine Zulassung nach Artikel 4 Abs. 1 des Gesetzes über die Errichtung eines Bundesamtes für Sera und Impfstoffe vom 7. Juli 1972 (BGBl. I S. 1163) als erteilt gilt, gilt eine Zulassung nach § 25 als erteilt. Auf die Zulassung finden die §§ 28 bis 31 entsprechende Anwendung.</w:t>
      </w:r>
    </w:p>
    <w:p>
      <w:r>
        <w:t xml:space="preserve">(2) (weggefallen)</w:t>
      </w:r>
    </w:p>
    <w:p>
      <w:r>
        <w:rPr>
          <w:color w:val="555555"/>
          <w:sz w:val="17"/>
        </w:rPr>
        <w:t xml:space="preserve">Zitiervorschlag: § 103 AMG 1976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https://recht.nulegal.eu/gesetze/AMG%201976/103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