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102 AMG 1976</w:t>
      </w:r>
    </w:p>
    <w:p>
      <w:r>
        <w:rPr>
          <w:color w:val="555555"/>
          <w:sz w:val="18"/>
        </w:rPr>
        <w:t xml:space="preserve">Arzneimittelgesetz</w:t>
      </w:r>
    </w:p>
    <w:p>
      <w:r>
        <w:rPr>
          <w:color w:val="555555"/>
          <w:sz w:val="18"/>
        </w:rPr>
        <w:t xml:space="preserve">Stand: 10.06.2019 (konsolidierte Textfassung, kein amtliches Inkrafttretensdatum)</w:t>
      </w:r>
    </w:p>
    <w:p>
      <w:r>
        <w:t xml:space="preserve">(1) Wer am 1. Januar 1978 die Tätigkeit des Herstellungsleiters befugt ausübt, darf diese Tätigkeit im bisherigen Umfang weiter ausüben.</w:t>
      </w:r>
    </w:p>
    <w:p>
      <w:r>
        <w:t xml:space="preserve">(2) Wer am 1. Januar 1978 die Sachkenntnis nach § 14 Abs. 1 des Arzneimittelgesetzes 1961 besitzt und die Tätigkeit als Herstellungsleiter nicht ausübt, darf die Tätigkeit als Herstellungsleiter ausüben, wenn er eine zweijährige Tätigkeit in der Arzneimittelherstellung nachweisen kann. Liegt die praktische Tätigkeit vor dem 10. Juni 1965, ist vor Aufnahme der Tätigkeit ein weiteres Jahr praktischer Tätigkeit nachzuweisen.</w:t>
      </w:r>
    </w:p>
    <w:p>
      <w:r>
        <w:t xml:space="preserve">(3) Wer vor dem 10. Juni 1975 ein Hochschulstudium nach § 15 Abs. 1 begonnen hat, erwirbt die Sachkenntnis als Herstellungsleiter, wenn er bis zum 10. Juni 1985 das Hochschulstudium beendet und mindestens zwei Jahre lang eine Tätigkeit nach § 15 Abs. 1 und 3 ausgeübt hat. Absatz 2 bleibt unberührt.</w:t>
      </w:r>
    </w:p>
    <w:p>
      <w:r>
        <w:t xml:space="preserve">(4) Die Absätze 2 und 3 gelten entsprechend für eine Person, die die Tätigkeit als Kontrollleiter ausüben will.</w:t>
      </w:r>
    </w:p>
    <w:p>
      <w:r>
        <w:rPr>
          <w:color w:val="555555"/>
          <w:sz w:val="17"/>
        </w:rPr>
        <w:t xml:space="preserve">Zitiervorschlag: § 102 AMG 1976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https://recht.nulegal.eu/gesetze/AMG%201976/102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