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(1) Eine Erlaubnis, die nach § 12 Abs. 1 oder § 19 Abs. 1 des Arzneimittelgesetzes 1961 erteilt worden ist und am 1. Januar 1978 rechtsgültig bestand, gilt im bisherigen Umfange als Erlaubnis im Sinne des § 13 Abs. 1 Satz 1 fort.</w:t>
      </w:r>
    </w:p>
    <w:p>
      <w:r>
        <w:t xml:space="preserve">(2) Eine Erlaubnis, die nach § 53 Abs. 1 oder § 56 des Arzneimittelgesetzes 1961 als erteilt gilt und am 1. Januar 1978 rechtsgültig bestand, gilt im bisherigen Umfange als Erlaubnis nach § 13 Abs. 1 Satz 1 fort.</w:t>
      </w:r>
    </w:p>
    <w:p>
      <w:r>
        <w:t xml:space="preserve">(3) War die Herstellung von Arzneimitteln nach dem Arzneimittelgesetz 1961 von einer Erlaubnis nicht abhängig, bedarf sie jedoch nach § 13 Abs. 1 Satz 1 einer Erlaubnis, so gilt diese demjenigen als erteilt, der die Tätigkeit der Herstellung von Arzneimitteln am 1. Januar 1978 seit mindestens drei Jahren befugt ausübt, jedoch nur, soweit die Herstellung auf bisher hergestellte oder nach der Zusammensetzung gleichartige Arzneimittel beschränkt bleibt.</w:t>
      </w:r>
    </w:p>
    <w:p>
      <w:r>
        <w:rPr>
          <w:color w:val="555555"/>
          <w:sz w:val="17"/>
        </w:rPr>
        <w:t xml:space="preserve">Zitiervorschlag: § 100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