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AMG 1976 — Zweck des Gesetzes</w:t>
      </w:r>
    </w:p>
    <w:p>
      <w:r>
        <w:rPr>
          <w:color w:val="555555"/>
          <w:sz w:val="18"/>
        </w:rPr>
        <w:t xml:space="preserve">Arzneimittelgesetz</w:t>
      </w:r>
    </w:p>
    <w:p>
      <w:r>
        <w:rPr>
          <w:color w:val="555555"/>
          <w:sz w:val="18"/>
        </w:rPr>
        <w:t xml:space="preserve">Stand: 28.01.2022 (konsolidierte Textfassung, kein amtliches Inkrafttretensdatum)</w:t>
      </w:r>
    </w:p>
    <w:p>
      <w:r>
        <w:t xml:space="preserve">Es ist der Zweck dieses Gesetzes, im Interesse einer ordnungsgemäßen Versorgung der Bevölkerung mit Arzneimitteln für die Sicherheit im Verkehr mit Arzneimitteln, insbesondere für die Qualität, Wirksamkeit und Unbedenklichkeit der Arzneimittel, nach Maßgabe der folgenden Vorschriften zu sorgen.</w:t>
      </w:r>
    </w:p>
    <w:p>
      <w:r>
        <w:rPr>
          <w:color w:val="555555"/>
          <w:sz w:val="17"/>
        </w:rPr>
        <w:t xml:space="preserve">Zitiervorschlag: § 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https://recht.nulegal.eu/gesetze/AMG%201976/1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