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Eingangsformel AMFarbV 2005</w:t>
      </w:r>
    </w:p>
    <w:p>
      <w:r>
        <w:rPr>
          <w:color w:val="555555"/>
          <w:sz w:val="18"/>
        </w:rPr>
        <w:t xml:space="preserve">Arzneimittelfarbstoffverordnung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Es verordnen</w:t>
      </w:r>
    </w:p>
    <w:p>
      <w:pPr>
        <w:ind w:left="420"/>
      </w:pPr>
      <w:r>
        <w:t xml:space="preserve">- das Bundesministerium für Gesundheit und Soziale Sicherung auf Grund des § 6 Abs. 1 Satz 1 und des § 83 Abs. 1 und 2 des Arzneimittelgesetzes in der Fassung der Bekanntmachung vom 11. Dezember 1998 (BGBl. I S. 3586), von denen § 6 Abs. 1 zuletzt durch Artikel 1 Nr. 4 Buchstabe a des Gesetzes vom 30. Juli 2004 (BGBl. I S. 2031) neu gefasst worden ist,</w:t>
      </w:r>
    </w:p>
    <w:p>
      <w:pPr>
        <w:ind w:left="420"/>
      </w:pPr>
      <w:r>
        <w:t xml:space="preserve">- das Bundesministerium für Verbraucherschutz, Ernährung und Landwirtschaft auf Grund des § 6 Abs. 1 Satz 1 in Verbindung mit Satz 2 und des § 83 Abs. 1 und 2 des Arzneimittelgesetzes in der Fassung der Bekanntmachung vom 11. Dezember 1998 (BGBl. I S. 3586), von denen § 6 Abs. 1 zuletzt durch Artikel 1 Nr. 4 Buchstabe a des Gesetzes vom 30. Juli 2004 (BGBl. I S. 2031) neu gefasst worden ist, im Einvernehmen mit dem Bundesministerium für Gesundheit und Soziale Sicherung:</w:t>
      </w:r>
    </w:p>
    <w:p>
      <w:r>
        <w:rPr>
          <w:color w:val="555555"/>
          <w:sz w:val="17"/>
        </w:rPr>
        <w:t xml:space="preserve">Zitiervorschlag: Eingangsformel AMFarbV 2005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https://recht.nulegal.eu/gesetze/AMFarbV%202005/eingangsformel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